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604" w:right="605" w:firstLine="0"/>
        <w:jc w:val="center"/>
        <w:rPr>
          <w:rFonts w:ascii="Tahoma" w:hAnsi="Tahoma"/>
          <w:b/>
          <w:sz w:val="22"/>
        </w:rPr>
      </w:pPr>
      <w:r>
        <w:rPr>
          <w:rFonts w:ascii="Tahoma" w:hAnsi="Tahoma"/>
          <w:b/>
          <w:color w:val="008000"/>
          <w:sz w:val="22"/>
        </w:rPr>
        <w:t>LEY DE AMPARO, REGLAMENTARIA DE LOS ARTÍCULOS 103 Y 107 DE LA CONSTITUCIÓN POLÍTICA DE LOS ESTADOS UNIDOS MEXICANOS</w:t>
      </w:r>
    </w:p>
    <w:p>
      <w:pPr>
        <w:spacing w:line="380" w:lineRule="atLeast" w:before="54"/>
        <w:ind w:left="1705" w:right="1703" w:firstLine="0"/>
        <w:jc w:val="center"/>
        <w:rPr>
          <w:rFonts w:ascii="Tahoma" w:hAnsi="Tahoma"/>
          <w:b/>
          <w:sz w:val="16"/>
        </w:rPr>
      </w:pPr>
      <w:r>
        <w:rPr>
          <w:rFonts w:ascii="Tahoma" w:hAnsi="Tahoma"/>
          <w:b/>
          <w:sz w:val="16"/>
        </w:rPr>
        <w:t>Nueva Ley publicada en el Diario Oficial de la Federación el 2 de abril de 2013 TEXTO VIGENTE</w:t>
      </w:r>
    </w:p>
    <w:p>
      <w:pPr>
        <w:spacing w:before="6"/>
        <w:ind w:left="607" w:right="604" w:firstLine="0"/>
        <w:jc w:val="center"/>
        <w:rPr>
          <w:rFonts w:ascii="Tahoma" w:hAnsi="Tahoma"/>
          <w:b/>
          <w:sz w:val="16"/>
        </w:rPr>
      </w:pPr>
      <w:r>
        <w:rPr>
          <w:rFonts w:ascii="Tahoma" w:hAnsi="Tahoma"/>
          <w:b/>
          <w:color w:val="CC3300"/>
          <w:sz w:val="16"/>
        </w:rPr>
        <w:t>Última reforma publicada DOF 15-06-2018</w:t>
      </w:r>
    </w:p>
    <w:p>
      <w:pPr>
        <w:pStyle w:val="BodyText"/>
        <w:rPr>
          <w:rFonts w:ascii="Tahoma"/>
          <w:b/>
          <w:sz w:val="18"/>
        </w:rPr>
      </w:pPr>
    </w:p>
    <w:p>
      <w:pPr>
        <w:pStyle w:val="BodyText"/>
        <w:rPr>
          <w:rFonts w:ascii="Tahoma"/>
          <w:b/>
          <w:sz w:val="18"/>
        </w:rPr>
      </w:pPr>
    </w:p>
    <w:p>
      <w:pPr>
        <w:pStyle w:val="BodyText"/>
        <w:rPr>
          <w:rFonts w:ascii="Tahoma"/>
          <w:b/>
          <w:sz w:val="21"/>
        </w:rPr>
      </w:pPr>
    </w:p>
    <w:p>
      <w:pPr>
        <w:pStyle w:val="BodyText"/>
        <w:spacing w:before="1"/>
        <w:ind w:left="118" w:right="338"/>
      </w:pPr>
      <w:r>
        <w:rPr/>
        <w:t>Al margen un sello con el Escudo Nacional, que dice: Estados Unidos Mexicanos.- Presidencia de la República.</w:t>
      </w:r>
    </w:p>
    <w:p>
      <w:pPr>
        <w:pStyle w:val="BodyText"/>
        <w:spacing w:before="10"/>
        <w:rPr>
          <w:sz w:val="19"/>
        </w:rPr>
      </w:pPr>
    </w:p>
    <w:p>
      <w:pPr>
        <w:pStyle w:val="BodyText"/>
        <w:spacing w:line="480" w:lineRule="auto" w:before="1"/>
        <w:ind w:left="406" w:right="338"/>
      </w:pPr>
      <w:r>
        <w:rPr>
          <w:b/>
        </w:rPr>
        <w:t>ENRIQUE PEÑA NIETO</w:t>
      </w:r>
      <w:r>
        <w:rPr/>
        <w:t>, Presidente de los Estados Unidos Mexicanos, a sus habitantes sabed: Que el Honorable Congreso de la Unión, se ha servido dirigirme el siguiente</w:t>
      </w:r>
    </w:p>
    <w:p>
      <w:pPr>
        <w:pStyle w:val="Heading2"/>
        <w:spacing w:line="229" w:lineRule="exact"/>
        <w:ind w:left="605" w:right="605"/>
        <w:jc w:val="center"/>
      </w:pPr>
      <w:r>
        <w:rPr/>
        <w:t>DECRETO</w:t>
      </w:r>
    </w:p>
    <w:p>
      <w:pPr>
        <w:pStyle w:val="BodyText"/>
        <w:rPr>
          <w:b/>
        </w:rPr>
      </w:pPr>
    </w:p>
    <w:p>
      <w:pPr>
        <w:pStyle w:val="BodyText"/>
        <w:ind w:left="406"/>
      </w:pPr>
      <w:r>
        <w:rPr>
          <w:b/>
        </w:rPr>
        <w:t>"</w:t>
      </w:r>
      <w:r>
        <w:rPr/>
        <w:t>EL CONGRESO GENERAL DE LOS ESTADOS UNIDOS MEXICANOS, DECRETA:</w:t>
      </w:r>
    </w:p>
    <w:p>
      <w:pPr>
        <w:pStyle w:val="BodyText"/>
        <w:spacing w:before="10"/>
        <w:rPr>
          <w:sz w:val="19"/>
        </w:rPr>
      </w:pPr>
    </w:p>
    <w:p>
      <w:pPr>
        <w:pStyle w:val="Heading2"/>
        <w:ind w:left="118" w:right="115" w:firstLine="288"/>
        <w:jc w:val="both"/>
      </w:pPr>
      <w:r>
        <w:rPr/>
        <w:t>SE EXPIDE </w:t>
      </w:r>
      <w:r>
        <w:rPr>
          <w:spacing w:val="2"/>
        </w:rPr>
        <w:t>LA </w:t>
      </w:r>
      <w:r>
        <w:rPr/>
        <w:t>LEY DE AMPARO, REGLAMENTARIA DE LOS ARTÍCULOS 103 Y 107 DE </w:t>
      </w:r>
      <w:r>
        <w:rPr>
          <w:spacing w:val="2"/>
        </w:rPr>
        <w:t>LA</w:t>
      </w:r>
      <w:r>
        <w:rPr>
          <w:spacing w:val="59"/>
        </w:rPr>
        <w:t> </w:t>
      </w:r>
      <w:r>
        <w:rPr/>
        <w:t>CONSTITUCIÓN POLÍTICA DE LOS ESTADOS UNIDOS MEXICANOS; SE REFORMAN Y  ADICIONAN DIVERSAS DISPOSICIONES DE </w:t>
      </w:r>
      <w:r>
        <w:rPr>
          <w:spacing w:val="2"/>
        </w:rPr>
        <w:t>LA </w:t>
      </w:r>
      <w:r>
        <w:rPr/>
        <w:t>LEY ORGÁNICA DEL PODER JUDICIAL DE </w:t>
      </w:r>
      <w:r>
        <w:rPr>
          <w:spacing w:val="2"/>
        </w:rPr>
        <w:t>LA </w:t>
      </w:r>
      <w:r>
        <w:rPr/>
        <w:t>FEDERACIÓN, DE </w:t>
      </w:r>
      <w:r>
        <w:rPr>
          <w:spacing w:val="2"/>
        </w:rPr>
        <w:t>LA </w:t>
      </w:r>
      <w:r>
        <w:rPr/>
        <w:t>LEY REGLAMENTARIA DE LAS FRACCIONES I Y II DEL ARTÍCULO 105 DE LA CONSTITUCIÓN POLÍTICA DE LOS ESTADOS UNIDOS MEXICANOS, DE LA LEY ORGÁNICA DE LA ADMINISTRACIÓN PÚBLICA FEDERAL, DE </w:t>
      </w:r>
      <w:r>
        <w:rPr>
          <w:spacing w:val="2"/>
        </w:rPr>
        <w:t>LA </w:t>
      </w:r>
      <w:r>
        <w:rPr/>
        <w:t>LEY ORGÁNICA DEL CONGRESO GENERAL DE LOS ESTADOS UNIDOS MEXICANOS Y DE </w:t>
      </w:r>
      <w:r>
        <w:rPr>
          <w:spacing w:val="2"/>
        </w:rPr>
        <w:t>LA </w:t>
      </w:r>
      <w:r>
        <w:rPr/>
        <w:t>LEY ORGÁNICA DE </w:t>
      </w:r>
      <w:r>
        <w:rPr>
          <w:spacing w:val="2"/>
        </w:rPr>
        <w:t>LA </w:t>
      </w:r>
      <w:r>
        <w:rPr/>
        <w:t>PROCURADURÍA GENERAL DE </w:t>
      </w:r>
      <w:r>
        <w:rPr>
          <w:spacing w:val="2"/>
        </w:rPr>
        <w:t>LA</w:t>
      </w:r>
      <w:r>
        <w:rPr>
          <w:spacing w:val="-7"/>
        </w:rPr>
        <w:t> </w:t>
      </w:r>
      <w:r>
        <w:rPr/>
        <w:t>REPÚBLICA.</w:t>
      </w:r>
    </w:p>
    <w:p>
      <w:pPr>
        <w:pStyle w:val="BodyText"/>
        <w:spacing w:before="2"/>
        <w:rPr>
          <w:b/>
        </w:rPr>
      </w:pPr>
    </w:p>
    <w:p>
      <w:pPr>
        <w:pStyle w:val="BodyText"/>
        <w:spacing w:line="242" w:lineRule="auto"/>
        <w:ind w:left="118" w:right="125" w:firstLine="288"/>
        <w:jc w:val="both"/>
      </w:pPr>
      <w:r>
        <w:rPr>
          <w:b/>
        </w:rPr>
        <w:t>ARTÍCULO PRIMERO. </w:t>
      </w:r>
      <w:r>
        <w:rPr/>
        <w:t>Se expide la Ley de Amparo, Reglamentaria de los artículos 103 y 107 de la Constitución Política de los Estados Unidos Mexicanos.</w:t>
      </w:r>
    </w:p>
    <w:p>
      <w:pPr>
        <w:pStyle w:val="BodyText"/>
        <w:spacing w:before="6"/>
        <w:rPr>
          <w:sz w:val="19"/>
        </w:rPr>
      </w:pPr>
    </w:p>
    <w:p>
      <w:pPr>
        <w:pStyle w:val="Heading1"/>
        <w:ind w:left="607"/>
      </w:pPr>
      <w:r>
        <w:rPr/>
        <w:t>TÍTULO</w:t>
      </w:r>
      <w:r>
        <w:rPr>
          <w:spacing w:val="-6"/>
        </w:rPr>
        <w:t> </w:t>
      </w:r>
      <w:r>
        <w:rPr/>
        <w:t>PRIMERO</w:t>
      </w:r>
    </w:p>
    <w:p>
      <w:pPr>
        <w:spacing w:before="2"/>
        <w:ind w:left="607" w:right="605" w:firstLine="0"/>
        <w:jc w:val="center"/>
        <w:rPr>
          <w:b/>
          <w:sz w:val="22"/>
        </w:rPr>
      </w:pPr>
      <w:r>
        <w:rPr>
          <w:b/>
          <w:sz w:val="22"/>
        </w:rPr>
        <w:t>Reglas</w:t>
      </w:r>
      <w:r>
        <w:rPr>
          <w:b/>
          <w:spacing w:val="-2"/>
          <w:sz w:val="22"/>
        </w:rPr>
        <w:t> </w:t>
      </w:r>
      <w:r>
        <w:rPr>
          <w:b/>
          <w:sz w:val="22"/>
        </w:rPr>
        <w:t>Generales</w:t>
      </w:r>
    </w:p>
    <w:p>
      <w:pPr>
        <w:pStyle w:val="BodyText"/>
        <w:spacing w:before="9"/>
        <w:rPr>
          <w:b/>
          <w:sz w:val="21"/>
        </w:rPr>
      </w:pPr>
    </w:p>
    <w:p>
      <w:pPr>
        <w:spacing w:before="0"/>
        <w:ind w:left="605" w:right="605" w:firstLine="0"/>
        <w:jc w:val="center"/>
        <w:rPr>
          <w:b/>
          <w:sz w:val="22"/>
        </w:rPr>
      </w:pPr>
      <w:r>
        <w:rPr>
          <w:b/>
          <w:sz w:val="22"/>
        </w:rPr>
        <w:t>CAPÍTULO I</w:t>
      </w:r>
    </w:p>
    <w:p>
      <w:pPr>
        <w:spacing w:before="2"/>
        <w:ind w:left="605" w:right="605" w:firstLine="0"/>
        <w:jc w:val="center"/>
        <w:rPr>
          <w:b/>
          <w:sz w:val="22"/>
        </w:rPr>
      </w:pPr>
      <w:r>
        <w:rPr>
          <w:b/>
          <w:sz w:val="22"/>
        </w:rPr>
        <w:t>Disposiciones Fundamentales</w:t>
      </w:r>
    </w:p>
    <w:p>
      <w:pPr>
        <w:pStyle w:val="BodyText"/>
        <w:spacing w:before="10"/>
        <w:rPr>
          <w:b/>
          <w:sz w:val="19"/>
        </w:rPr>
      </w:pPr>
    </w:p>
    <w:p>
      <w:pPr>
        <w:pStyle w:val="BodyText"/>
        <w:ind w:left="406"/>
      </w:pPr>
      <w:bookmarkStart w:name="Artículo_1o" w:id="1"/>
      <w:bookmarkEnd w:id="1"/>
      <w:r>
        <w:rPr/>
      </w:r>
      <w:r>
        <w:rPr>
          <w:b/>
        </w:rPr>
        <w:t>Artículo 1o. </w:t>
      </w:r>
      <w:r>
        <w:rPr/>
        <w:t>El juicio de amparo tiene por objeto resolver toda controversia que se suscite:</w:t>
      </w:r>
    </w:p>
    <w:p>
      <w:pPr>
        <w:pStyle w:val="BodyText"/>
        <w:spacing w:before="1"/>
      </w:pPr>
    </w:p>
    <w:p>
      <w:pPr>
        <w:pStyle w:val="ListParagraph"/>
        <w:numPr>
          <w:ilvl w:val="0"/>
          <w:numId w:val="1"/>
        </w:numPr>
        <w:tabs>
          <w:tab w:pos="839" w:val="left" w:leader="none"/>
        </w:tabs>
        <w:spacing w:line="240" w:lineRule="auto" w:before="0" w:after="0"/>
        <w:ind w:left="838" w:right="118" w:hanging="432"/>
        <w:jc w:val="both"/>
        <w:rPr>
          <w:sz w:val="20"/>
        </w:rPr>
      </w:pPr>
      <w:r>
        <w:rPr>
          <w:sz w:val="20"/>
        </w:rPr>
        <w:t>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w:t>
      </w:r>
      <w:r>
        <w:rPr>
          <w:spacing w:val="-1"/>
          <w:sz w:val="20"/>
        </w:rPr>
        <w:t> </w:t>
      </w:r>
      <w:r>
        <w:rPr>
          <w:sz w:val="20"/>
        </w:rPr>
        <w:t>parte;</w:t>
      </w:r>
    </w:p>
    <w:p>
      <w:pPr>
        <w:pStyle w:val="BodyText"/>
      </w:pPr>
    </w:p>
    <w:p>
      <w:pPr>
        <w:pStyle w:val="ListParagraph"/>
        <w:numPr>
          <w:ilvl w:val="0"/>
          <w:numId w:val="1"/>
        </w:numPr>
        <w:tabs>
          <w:tab w:pos="839" w:val="left" w:leader="none"/>
        </w:tabs>
        <w:spacing w:line="240" w:lineRule="auto" w:before="0" w:after="0"/>
        <w:ind w:left="838" w:right="114" w:hanging="432"/>
        <w:jc w:val="both"/>
        <w:rPr>
          <w:sz w:val="20"/>
        </w:rPr>
      </w:pPr>
      <w:r>
        <w:rPr>
          <w:sz w:val="20"/>
        </w:rPr>
        <w:t>Por normas generales, actos u omisiones de la autoridad federal que vulneren o restrinjan la soberanía de los Estados o la esfera de competencias del Distrito Federal, siempre y cuando se violen los derechos humanos reconocidos y las garantías otorgadas para su protección por </w:t>
      </w:r>
      <w:r>
        <w:rPr>
          <w:spacing w:val="4"/>
          <w:sz w:val="20"/>
        </w:rPr>
        <w:t>la </w:t>
      </w:r>
      <w:r>
        <w:rPr>
          <w:sz w:val="20"/>
        </w:rPr>
        <w:t>Constitución Política de los Estados Unidos Mexicanos;</w:t>
      </w:r>
      <w:r>
        <w:rPr>
          <w:spacing w:val="2"/>
          <w:sz w:val="20"/>
        </w:rPr>
        <w:t> </w:t>
      </w:r>
      <w:r>
        <w:rPr>
          <w:sz w:val="20"/>
        </w:rPr>
        <w:t>y</w:t>
      </w:r>
    </w:p>
    <w:p>
      <w:pPr>
        <w:spacing w:after="0" w:line="240" w:lineRule="auto"/>
        <w:jc w:val="both"/>
        <w:rPr>
          <w:sz w:val="20"/>
        </w:rPr>
        <w:sectPr>
          <w:headerReference w:type="default" r:id="rId5"/>
          <w:footerReference w:type="default" r:id="rId6"/>
          <w:type w:val="continuous"/>
          <w:pgSz w:w="12240" w:h="15840"/>
          <w:pgMar w:header="708" w:footer="712" w:top="1760" w:bottom="900" w:left="1300" w:right="1300"/>
          <w:pgNumType w:start="1"/>
        </w:sectPr>
      </w:pPr>
    </w:p>
    <w:p>
      <w:pPr>
        <w:pStyle w:val="BodyText"/>
        <w:spacing w:before="5"/>
        <w:rPr>
          <w:sz w:val="27"/>
        </w:rPr>
      </w:pPr>
    </w:p>
    <w:p>
      <w:pPr>
        <w:pStyle w:val="ListParagraph"/>
        <w:numPr>
          <w:ilvl w:val="0"/>
          <w:numId w:val="1"/>
        </w:numPr>
        <w:tabs>
          <w:tab w:pos="839" w:val="left" w:leader="none"/>
        </w:tabs>
        <w:spacing w:line="242" w:lineRule="auto" w:before="93" w:after="0"/>
        <w:ind w:left="838" w:right="124" w:hanging="432"/>
        <w:jc w:val="both"/>
        <w:rPr>
          <w:sz w:val="20"/>
        </w:rPr>
      </w:pPr>
      <w:r>
        <w:rPr>
          <w:sz w:val="20"/>
        </w:rPr>
        <w:t>Por normas generales, actos u omisiones de las autoridades de los Estados o del</w:t>
      </w:r>
      <w:r>
        <w:rPr>
          <w:spacing w:val="27"/>
          <w:sz w:val="20"/>
        </w:rPr>
        <w:t> </w:t>
      </w:r>
      <w:r>
        <w:rPr>
          <w:sz w:val="20"/>
        </w:rPr>
        <w:t>Distrito Federal, que invadan la esfera de competencia de la autoridad federal, siempre y cuando se violen los derechos humanos reconocidos y las garantías otorgadas por la Constitución Política de los Estados Unidos</w:t>
      </w:r>
      <w:r>
        <w:rPr>
          <w:spacing w:val="-2"/>
          <w:sz w:val="20"/>
        </w:rPr>
        <w:t> </w:t>
      </w:r>
      <w:r>
        <w:rPr>
          <w:sz w:val="20"/>
        </w:rPr>
        <w:t>Mexicanos.</w:t>
      </w:r>
    </w:p>
    <w:p>
      <w:pPr>
        <w:pStyle w:val="BodyText"/>
        <w:spacing w:before="4"/>
        <w:rPr>
          <w:sz w:val="19"/>
        </w:rPr>
      </w:pPr>
    </w:p>
    <w:p>
      <w:pPr>
        <w:pStyle w:val="BodyText"/>
        <w:ind w:left="118" w:right="125" w:firstLine="288"/>
        <w:jc w:val="both"/>
      </w:pPr>
      <w:r>
        <w:rPr/>
        <w:t>El amparo protege a las personas frente a normas generales, actos u omisiones por parte de los poderes públicos o de particulares en los casos señalados en la presente Ley.</w:t>
      </w:r>
    </w:p>
    <w:p>
      <w:pPr>
        <w:pStyle w:val="BodyText"/>
        <w:spacing w:before="11"/>
        <w:rPr>
          <w:sz w:val="19"/>
        </w:rPr>
      </w:pPr>
    </w:p>
    <w:p>
      <w:pPr>
        <w:pStyle w:val="BodyText"/>
        <w:ind w:left="118" w:right="123" w:firstLine="288"/>
        <w:jc w:val="both"/>
      </w:pPr>
      <w:bookmarkStart w:name="Artículo_2o" w:id="2"/>
      <w:bookmarkEnd w:id="2"/>
      <w:r>
        <w:rPr/>
      </w:r>
      <w:r>
        <w:rPr>
          <w:b/>
        </w:rPr>
        <w:t>Artículo 2o. </w:t>
      </w:r>
      <w:r>
        <w:rPr/>
        <w:t>El juicio de amparo se tramitará en vía directa o indirecta. Se substanciará y resolverá de acuerdo con las formas y procedimientos que establece esta Ley.</w:t>
      </w:r>
    </w:p>
    <w:p>
      <w:pPr>
        <w:pStyle w:val="BodyText"/>
        <w:spacing w:before="1"/>
      </w:pPr>
    </w:p>
    <w:p>
      <w:pPr>
        <w:pStyle w:val="BodyText"/>
        <w:ind w:left="118" w:right="119" w:firstLine="288"/>
        <w:jc w:val="both"/>
      </w:pPr>
      <w:r>
        <w:rPr/>
        <w:t>A falta de disposición expresa se aplicará en forma supletoria el Código Federal de Procedimientos Civiles y, en su defecto, los principios generales del derecho.</w:t>
      </w:r>
    </w:p>
    <w:p>
      <w:pPr>
        <w:pStyle w:val="BodyText"/>
        <w:spacing w:before="11"/>
        <w:rPr>
          <w:sz w:val="19"/>
        </w:rPr>
      </w:pPr>
    </w:p>
    <w:p>
      <w:pPr>
        <w:pStyle w:val="BodyText"/>
        <w:ind w:left="406"/>
      </w:pPr>
      <w:bookmarkStart w:name="Artículo_3o" w:id="3"/>
      <w:bookmarkEnd w:id="3"/>
      <w:r>
        <w:rPr/>
      </w:r>
      <w:r>
        <w:rPr>
          <w:b/>
        </w:rPr>
        <w:t>Artículo 3o. </w:t>
      </w:r>
      <w:r>
        <w:rPr/>
        <w:t>En el juicio de amparo las promociones deberán hacerse por escrito.</w:t>
      </w:r>
    </w:p>
    <w:p>
      <w:pPr>
        <w:pStyle w:val="BodyText"/>
        <w:spacing w:before="1"/>
      </w:pPr>
    </w:p>
    <w:p>
      <w:pPr>
        <w:pStyle w:val="BodyText"/>
        <w:ind w:left="118" w:right="122" w:firstLine="288"/>
        <w:jc w:val="both"/>
      </w:pPr>
      <w:r>
        <w:rPr/>
        <w:t>Podrán ser orales las que se hagan en las audiencias, notificaciones y comparecencias autorizadas por la ley, dejándose constancia de lo esencial. Es optativo para el promovente presentar su escrito en forma impresa o electrónicamente.</w:t>
      </w:r>
    </w:p>
    <w:p>
      <w:pPr>
        <w:pStyle w:val="BodyText"/>
        <w:spacing w:before="1"/>
      </w:pPr>
    </w:p>
    <w:p>
      <w:pPr>
        <w:pStyle w:val="BodyText"/>
        <w:spacing w:before="1"/>
        <w:ind w:left="118" w:right="117" w:firstLine="288"/>
        <w:jc w:val="both"/>
      </w:pPr>
      <w:r>
        <w:rPr/>
        <w:t>Las copias certificadas que se expidan para la substanciación del juicio de amparo no causarán contribución alguna.</w:t>
      </w:r>
    </w:p>
    <w:p>
      <w:pPr>
        <w:pStyle w:val="BodyText"/>
        <w:spacing w:before="10"/>
        <w:rPr>
          <w:sz w:val="19"/>
        </w:rPr>
      </w:pPr>
    </w:p>
    <w:p>
      <w:pPr>
        <w:pStyle w:val="BodyText"/>
        <w:ind w:left="118" w:right="124" w:firstLine="288"/>
        <w:jc w:val="both"/>
      </w:pPr>
      <w:r>
        <w:rPr/>
        <w:t>Los escritos en forma electrónica se presentarán mediante el empleo de las tecnologías de la información, utilizando la Firma Electrónica conforme la regulación que para tal efecto emita el Consejo de la Judicatura</w:t>
      </w:r>
      <w:r>
        <w:rPr>
          <w:spacing w:val="-2"/>
        </w:rPr>
        <w:t> </w:t>
      </w:r>
      <w:r>
        <w:rPr/>
        <w:t>Federal.</w:t>
      </w:r>
    </w:p>
    <w:p>
      <w:pPr>
        <w:pStyle w:val="BodyText"/>
        <w:spacing w:before="10"/>
        <w:rPr>
          <w:sz w:val="19"/>
        </w:rPr>
      </w:pPr>
    </w:p>
    <w:p>
      <w:pPr>
        <w:pStyle w:val="BodyText"/>
        <w:spacing w:before="1"/>
        <w:ind w:left="118" w:right="118" w:firstLine="288"/>
        <w:jc w:val="both"/>
      </w:pPr>
      <w:r>
        <w:rP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pPr>
        <w:pStyle w:val="BodyText"/>
      </w:pPr>
    </w:p>
    <w:p>
      <w:pPr>
        <w:pStyle w:val="BodyText"/>
        <w:ind w:left="118" w:right="126" w:firstLine="288"/>
        <w:jc w:val="both"/>
      </w:pPr>
      <w:r>
        <w:rPr/>
        <w:t>En cualquier caso, sea que las partes promuevan en forma impresa o electrónica, los órganos jurisdiccionales están obligados a que el expediente electrónico e impreso coincidan íntegramente para la consulta de las partes.</w:t>
      </w:r>
    </w:p>
    <w:p>
      <w:pPr>
        <w:pStyle w:val="BodyText"/>
        <w:spacing w:before="1"/>
      </w:pPr>
    </w:p>
    <w:p>
      <w:pPr>
        <w:pStyle w:val="BodyText"/>
        <w:ind w:left="118" w:right="128" w:firstLine="288"/>
        <w:jc w:val="both"/>
      </w:pPr>
      <w:r>
        <w:rPr/>
        <w:t>El Consejo de la Judicatura Federal, mediante reglas y acuerdos generales, determinará la forma en que se deberá integrar, en su caso, el expediente impreso.</w:t>
      </w:r>
    </w:p>
    <w:p>
      <w:pPr>
        <w:pStyle w:val="BodyText"/>
        <w:spacing w:before="11"/>
        <w:rPr>
          <w:sz w:val="19"/>
        </w:rPr>
      </w:pPr>
    </w:p>
    <w:p>
      <w:pPr>
        <w:pStyle w:val="BodyText"/>
        <w:ind w:left="118" w:right="113" w:firstLine="288"/>
        <w:jc w:val="both"/>
      </w:pPr>
      <w:r>
        <w:rP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w:t>
      </w:r>
      <w:r>
        <w:rPr>
          <w:spacing w:val="-2"/>
        </w:rPr>
        <w:t> </w:t>
      </w:r>
      <w:r>
        <w:rPr/>
        <w:t>Electrónica.</w:t>
      </w:r>
    </w:p>
    <w:p>
      <w:pPr>
        <w:pStyle w:val="BodyText"/>
      </w:pPr>
    </w:p>
    <w:p>
      <w:pPr>
        <w:pStyle w:val="BodyText"/>
        <w:ind w:left="118" w:right="117" w:firstLine="288"/>
        <w:jc w:val="both"/>
      </w:pPr>
      <w:r>
        <w:rPr/>
        <w:t>No se requerirá Firma Electrónica cuando el amparo se promueva en los términos del artículo 15 de esta Ley.</w:t>
      </w:r>
    </w:p>
    <w:p>
      <w:pPr>
        <w:spacing w:after="0"/>
        <w:jc w:val="both"/>
        <w:sectPr>
          <w:pgSz w:w="12240" w:h="15840"/>
          <w:pgMar w:header="708" w:footer="712" w:top="1760" w:bottom="900" w:left="1300" w:right="1300"/>
        </w:sectPr>
      </w:pPr>
    </w:p>
    <w:p>
      <w:pPr>
        <w:pStyle w:val="BodyText"/>
        <w:spacing w:before="5"/>
        <w:rPr>
          <w:sz w:val="27"/>
        </w:rPr>
      </w:pPr>
    </w:p>
    <w:p>
      <w:pPr>
        <w:pStyle w:val="BodyText"/>
        <w:spacing w:before="93"/>
        <w:ind w:left="118" w:right="119" w:firstLine="288"/>
        <w:jc w:val="both"/>
      </w:pPr>
      <w:bookmarkStart w:name="Artículo_4o" w:id="4"/>
      <w:bookmarkEnd w:id="4"/>
      <w:r>
        <w:rPr/>
      </w:r>
      <w:r>
        <w:rPr>
          <w:b/>
        </w:rPr>
        <w:t>Artículo 4o. </w:t>
      </w:r>
      <w:r>
        <w:rPr/>
        <w:t>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w:t>
      </w:r>
      <w:r>
        <w:rPr>
          <w:spacing w:val="13"/>
        </w:rPr>
        <w:t> </w:t>
      </w:r>
      <w:r>
        <w:rPr/>
        <w:t>se substancien y resuelvan de manera prioritaria, sin modificar de ningún </w:t>
      </w:r>
      <w:r>
        <w:rPr>
          <w:spacing w:val="2"/>
        </w:rPr>
        <w:t>modo </w:t>
      </w:r>
      <w:r>
        <w:rPr/>
        <w:t>los plazos previstos en la ley.</w:t>
      </w:r>
    </w:p>
    <w:p>
      <w:pPr>
        <w:pStyle w:val="BodyText"/>
        <w:spacing w:before="3"/>
      </w:pPr>
    </w:p>
    <w:p>
      <w:pPr>
        <w:pStyle w:val="BodyText"/>
        <w:ind w:left="406"/>
      </w:pPr>
      <w:r>
        <w:rPr/>
        <w:t>La urgencia en los términos de este artículo se justificará cuando:</w:t>
      </w:r>
    </w:p>
    <w:p>
      <w:pPr>
        <w:pStyle w:val="BodyText"/>
        <w:spacing w:before="7"/>
        <w:rPr>
          <w:sz w:val="19"/>
        </w:rPr>
      </w:pPr>
    </w:p>
    <w:p>
      <w:pPr>
        <w:pStyle w:val="ListParagraph"/>
        <w:numPr>
          <w:ilvl w:val="0"/>
          <w:numId w:val="2"/>
        </w:numPr>
        <w:tabs>
          <w:tab w:pos="838" w:val="left" w:leader="none"/>
          <w:tab w:pos="839" w:val="left" w:leader="none"/>
        </w:tabs>
        <w:spacing w:line="240" w:lineRule="auto" w:before="1" w:after="0"/>
        <w:ind w:left="838" w:right="0" w:hanging="433"/>
        <w:jc w:val="left"/>
        <w:rPr>
          <w:sz w:val="20"/>
        </w:rPr>
      </w:pPr>
      <w:r>
        <w:rPr>
          <w:sz w:val="20"/>
        </w:rPr>
        <w:t>Se trate de amparos promovidos para la defensa de grupos vulnerables en los términos de la</w:t>
      </w:r>
      <w:r>
        <w:rPr>
          <w:spacing w:val="-27"/>
          <w:sz w:val="20"/>
        </w:rPr>
        <w:t> </w:t>
      </w:r>
      <w:r>
        <w:rPr>
          <w:sz w:val="20"/>
        </w:rPr>
        <w:t>ley.</w:t>
      </w:r>
    </w:p>
    <w:p>
      <w:pPr>
        <w:pStyle w:val="BodyText"/>
      </w:pPr>
    </w:p>
    <w:p>
      <w:pPr>
        <w:pStyle w:val="ListParagraph"/>
        <w:numPr>
          <w:ilvl w:val="0"/>
          <w:numId w:val="2"/>
        </w:numPr>
        <w:tabs>
          <w:tab w:pos="838" w:val="left" w:leader="none"/>
          <w:tab w:pos="839" w:val="left" w:leader="none"/>
        </w:tabs>
        <w:spacing w:line="242" w:lineRule="auto" w:before="0" w:after="0"/>
        <w:ind w:left="838" w:right="118" w:hanging="432"/>
        <w:jc w:val="left"/>
        <w:rPr>
          <w:sz w:val="20"/>
        </w:rPr>
      </w:pPr>
      <w:r>
        <w:rPr>
          <w:sz w:val="20"/>
        </w:rPr>
        <w:t>Se trate del cumplimiento de decretos, resoluciones o actos de autoridad en materia de competencia económica, monopolios y libre</w:t>
      </w:r>
      <w:r>
        <w:rPr>
          <w:spacing w:val="-7"/>
          <w:sz w:val="20"/>
        </w:rPr>
        <w:t> </w:t>
      </w:r>
      <w:r>
        <w:rPr>
          <w:sz w:val="20"/>
        </w:rPr>
        <w:t>concurrencia.</w:t>
      </w:r>
    </w:p>
    <w:p>
      <w:pPr>
        <w:pStyle w:val="BodyText"/>
        <w:spacing w:before="9"/>
        <w:rPr>
          <w:sz w:val="19"/>
        </w:rPr>
      </w:pPr>
    </w:p>
    <w:p>
      <w:pPr>
        <w:pStyle w:val="ListParagraph"/>
        <w:numPr>
          <w:ilvl w:val="0"/>
          <w:numId w:val="2"/>
        </w:numPr>
        <w:tabs>
          <w:tab w:pos="838" w:val="left" w:leader="none"/>
          <w:tab w:pos="839" w:val="left" w:leader="none"/>
        </w:tabs>
        <w:spacing w:line="240" w:lineRule="auto" w:before="0" w:after="0"/>
        <w:ind w:left="838" w:right="0" w:hanging="433"/>
        <w:jc w:val="left"/>
        <w:rPr>
          <w:sz w:val="20"/>
        </w:rPr>
      </w:pPr>
      <w:r>
        <w:rPr>
          <w:sz w:val="20"/>
        </w:rPr>
        <w:t>Se trate de prevenir daños irreversibles al equilibrio</w:t>
      </w:r>
      <w:r>
        <w:rPr>
          <w:spacing w:val="-7"/>
          <w:sz w:val="20"/>
        </w:rPr>
        <w:t> </w:t>
      </w:r>
      <w:r>
        <w:rPr>
          <w:sz w:val="20"/>
        </w:rPr>
        <w:t>ecológico.</w:t>
      </w:r>
    </w:p>
    <w:p>
      <w:pPr>
        <w:pStyle w:val="BodyText"/>
        <w:spacing w:before="10"/>
        <w:rPr>
          <w:sz w:val="19"/>
        </w:rPr>
      </w:pPr>
    </w:p>
    <w:p>
      <w:pPr>
        <w:pStyle w:val="ListParagraph"/>
        <w:numPr>
          <w:ilvl w:val="0"/>
          <w:numId w:val="2"/>
        </w:numPr>
        <w:tabs>
          <w:tab w:pos="839" w:val="left" w:leader="none"/>
        </w:tabs>
        <w:spacing w:line="242" w:lineRule="auto" w:before="0" w:after="0"/>
        <w:ind w:left="838" w:right="121" w:hanging="432"/>
        <w:jc w:val="left"/>
        <w:rPr>
          <w:sz w:val="20"/>
        </w:rPr>
      </w:pPr>
      <w:r>
        <w:rPr>
          <w:sz w:val="20"/>
        </w:rPr>
        <w:t>En aquellos casos que el Pleno de la Suprema Corte de Justicia de la Nación estime procedentes.</w:t>
      </w:r>
    </w:p>
    <w:p>
      <w:pPr>
        <w:pStyle w:val="BodyText"/>
        <w:spacing w:before="10"/>
        <w:rPr>
          <w:sz w:val="19"/>
        </w:rPr>
      </w:pPr>
    </w:p>
    <w:p>
      <w:pPr>
        <w:pStyle w:val="BodyText"/>
        <w:spacing w:before="1"/>
        <w:ind w:left="118" w:right="121" w:firstLine="288"/>
        <w:jc w:val="both"/>
      </w:pPr>
      <w:r>
        <w:rPr/>
        <w:t>Recibida la solicitud, el Presidente de la Suprema Corte de Justicia de la Nación la someterá a consideración del Pleno, que resolverá de forma definitiva por mayoría simple. La resolución incluirá las providencias que resulten necesarias, las que se notificarán, cuando proceda, al Consejo de la Judicatura Federal.</w:t>
      </w:r>
    </w:p>
    <w:p>
      <w:pPr>
        <w:pStyle w:val="BodyText"/>
        <w:spacing w:before="11"/>
        <w:rPr>
          <w:sz w:val="19"/>
        </w:rPr>
      </w:pPr>
    </w:p>
    <w:p>
      <w:pPr>
        <w:pStyle w:val="BodyText"/>
        <w:ind w:left="118" w:right="112" w:firstLine="288"/>
        <w:jc w:val="both"/>
      </w:pPr>
      <w:r>
        <w:rPr/>
        <w:t>Para la admisión, trámite y resolución de las solicitudes, así como las previsiones a que hace referencia este artículo, deberán observarse los acuerdos generales que al efecto </w:t>
      </w:r>
      <w:r>
        <w:rPr>
          <w:spacing w:val="2"/>
        </w:rPr>
        <w:t>emita </w:t>
      </w:r>
      <w:r>
        <w:rPr/>
        <w:t>la Suprema Corte de Justicia de la</w:t>
      </w:r>
      <w:r>
        <w:rPr>
          <w:spacing w:val="-6"/>
        </w:rPr>
        <w:t> </w:t>
      </w:r>
      <w:r>
        <w:rPr/>
        <w:t>Nación.</w:t>
      </w:r>
    </w:p>
    <w:p>
      <w:pPr>
        <w:pStyle w:val="BodyText"/>
        <w:spacing w:before="7"/>
        <w:rPr>
          <w:sz w:val="11"/>
        </w:rPr>
      </w:pPr>
    </w:p>
    <w:p>
      <w:pPr>
        <w:pStyle w:val="Heading1"/>
        <w:spacing w:before="94"/>
      </w:pPr>
      <w:r>
        <w:rPr/>
        <w:t>CAPÍTULO II</w:t>
      </w:r>
    </w:p>
    <w:p>
      <w:pPr>
        <w:spacing w:before="1"/>
        <w:ind w:left="605" w:right="605" w:firstLine="0"/>
        <w:jc w:val="center"/>
        <w:rPr>
          <w:b/>
          <w:sz w:val="22"/>
        </w:rPr>
      </w:pPr>
      <w:r>
        <w:rPr>
          <w:b/>
          <w:sz w:val="22"/>
        </w:rPr>
        <w:t>Capacidad y Personería</w:t>
      </w:r>
    </w:p>
    <w:p>
      <w:pPr>
        <w:pStyle w:val="BodyText"/>
        <w:spacing w:before="11"/>
        <w:rPr>
          <w:b/>
          <w:sz w:val="19"/>
        </w:rPr>
      </w:pPr>
    </w:p>
    <w:p>
      <w:pPr>
        <w:spacing w:before="0"/>
        <w:ind w:left="406" w:right="0" w:firstLine="0"/>
        <w:jc w:val="left"/>
        <w:rPr>
          <w:sz w:val="20"/>
        </w:rPr>
      </w:pPr>
      <w:bookmarkStart w:name="Artículo_5o" w:id="5"/>
      <w:bookmarkEnd w:id="5"/>
      <w:r>
        <w:rPr/>
      </w:r>
      <w:r>
        <w:rPr>
          <w:b/>
          <w:sz w:val="20"/>
        </w:rPr>
        <w:t>Artículo 5o. </w:t>
      </w:r>
      <w:r>
        <w:rPr>
          <w:sz w:val="20"/>
        </w:rPr>
        <w:t>Son partes en el juicio de amparo:</w:t>
      </w:r>
    </w:p>
    <w:p>
      <w:pPr>
        <w:pStyle w:val="BodyText"/>
        <w:spacing w:before="10"/>
        <w:rPr>
          <w:sz w:val="19"/>
        </w:rPr>
      </w:pPr>
    </w:p>
    <w:p>
      <w:pPr>
        <w:pStyle w:val="ListParagraph"/>
        <w:numPr>
          <w:ilvl w:val="1"/>
          <w:numId w:val="2"/>
        </w:numPr>
        <w:tabs>
          <w:tab w:pos="1010" w:val="left" w:leader="none"/>
        </w:tabs>
        <w:spacing w:line="240" w:lineRule="auto" w:before="0" w:after="0"/>
        <w:ind w:left="838" w:right="113" w:firstLine="0"/>
        <w:jc w:val="both"/>
        <w:rPr>
          <w:sz w:val="20"/>
        </w:rPr>
      </w:pPr>
      <w:r>
        <w:rPr>
          <w:sz w:val="20"/>
        </w:rPr>
        <w:t>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w:t>
      </w:r>
      <w:r>
        <w:rPr>
          <w:spacing w:val="-2"/>
          <w:sz w:val="20"/>
        </w:rPr>
        <w:t> </w:t>
      </w:r>
      <w:r>
        <w:rPr>
          <w:sz w:val="20"/>
        </w:rPr>
        <w:t>jurídico.</w:t>
      </w:r>
    </w:p>
    <w:p>
      <w:pPr>
        <w:pStyle w:val="BodyText"/>
        <w:spacing w:before="2"/>
      </w:pPr>
    </w:p>
    <w:p>
      <w:pPr>
        <w:pStyle w:val="BodyText"/>
        <w:ind w:left="838" w:right="125"/>
        <w:jc w:val="both"/>
      </w:pPr>
      <w:r>
        <w:rPr/>
        <w:t>El interés simple, en ningún caso, podrá invocarse como interés legítimo. La autoridad pública no podrá invocar interés legítimo.</w:t>
      </w:r>
    </w:p>
    <w:p>
      <w:pPr>
        <w:pStyle w:val="BodyText"/>
        <w:spacing w:before="1"/>
      </w:pPr>
    </w:p>
    <w:p>
      <w:pPr>
        <w:pStyle w:val="BodyText"/>
        <w:spacing w:before="1"/>
        <w:ind w:left="838" w:right="116"/>
        <w:jc w:val="both"/>
      </w:pPr>
      <w:r>
        <w:rPr/>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pPr>
        <w:pStyle w:val="BodyText"/>
      </w:pPr>
    </w:p>
    <w:p>
      <w:pPr>
        <w:pStyle w:val="BodyText"/>
        <w:ind w:left="838" w:right="119"/>
        <w:jc w:val="both"/>
      </w:pPr>
      <w:r>
        <w:rPr/>
        <w:t>Tratándose de actos o resoluciones provenientes de tribunales judiciales, administrativos, agrarios o del trabajo, el quejoso deberá aducir ser titular de un derecho subjetivo que se afecte de manera personal y</w:t>
      </w:r>
      <w:r>
        <w:rPr>
          <w:spacing w:val="-3"/>
        </w:rPr>
        <w:t> </w:t>
      </w:r>
      <w:r>
        <w:rPr/>
        <w:t>directa;</w:t>
      </w:r>
    </w:p>
    <w:p>
      <w:pPr>
        <w:pStyle w:val="BodyText"/>
        <w:spacing w:before="10"/>
        <w:rPr>
          <w:sz w:val="19"/>
        </w:rPr>
      </w:pPr>
    </w:p>
    <w:p>
      <w:pPr>
        <w:pStyle w:val="BodyText"/>
        <w:spacing w:before="1"/>
        <w:ind w:left="838"/>
        <w:jc w:val="both"/>
      </w:pPr>
      <w:r>
        <w:rPr/>
        <w:t>La víctima u ofendido del delito podrán tener el carácter de quejosos en los términos de esta Ley.</w:t>
      </w:r>
    </w:p>
    <w:p>
      <w:pPr>
        <w:spacing w:after="0"/>
        <w:jc w:val="both"/>
        <w:sectPr>
          <w:pgSz w:w="12240" w:h="15840"/>
          <w:pgMar w:header="708" w:footer="712" w:top="1760" w:bottom="900" w:left="1300" w:right="1300"/>
        </w:sectPr>
      </w:pPr>
    </w:p>
    <w:p>
      <w:pPr>
        <w:pStyle w:val="BodyText"/>
      </w:pPr>
    </w:p>
    <w:p>
      <w:pPr>
        <w:pStyle w:val="BodyText"/>
        <w:spacing w:before="6"/>
        <w:rPr>
          <w:sz w:val="27"/>
        </w:rPr>
      </w:pPr>
    </w:p>
    <w:p>
      <w:pPr>
        <w:pStyle w:val="ListParagraph"/>
        <w:numPr>
          <w:ilvl w:val="1"/>
          <w:numId w:val="2"/>
        </w:numPr>
        <w:tabs>
          <w:tab w:pos="1067" w:val="left" w:leader="none"/>
        </w:tabs>
        <w:spacing w:line="240" w:lineRule="auto" w:before="92" w:after="0"/>
        <w:ind w:left="838" w:right="121" w:firstLine="0"/>
        <w:jc w:val="both"/>
        <w:rPr>
          <w:sz w:val="20"/>
        </w:rPr>
      </w:pPr>
      <w:r>
        <w:rPr>
          <w:sz w:val="20"/>
        </w:rPr>
        <w:t>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w:t>
      </w:r>
      <w:r>
        <w:rPr>
          <w:spacing w:val="-2"/>
          <w:sz w:val="20"/>
        </w:rPr>
        <w:t> </w:t>
      </w:r>
      <w:r>
        <w:rPr>
          <w:sz w:val="20"/>
        </w:rPr>
        <w:t>jurídicas.</w:t>
      </w:r>
    </w:p>
    <w:p>
      <w:pPr>
        <w:pStyle w:val="BodyText"/>
        <w:spacing w:before="2"/>
      </w:pPr>
    </w:p>
    <w:p>
      <w:pPr>
        <w:pStyle w:val="BodyText"/>
        <w:spacing w:before="1"/>
        <w:ind w:left="838" w:right="120"/>
        <w:jc w:val="both"/>
      </w:pPr>
      <w:r>
        <w:rPr/>
        <w:t>Para los efectos de esta Ley, los particulares tendrán la calidad de autoridad responsable cuando realicen actos equivalentes a los de autoridad, que afecten derechos en los términos de esta fracción, y cuyas funciones estén determinadas por una norma general.</w:t>
      </w:r>
    </w:p>
    <w:p>
      <w:pPr>
        <w:pStyle w:val="BodyText"/>
        <w:spacing w:before="8"/>
        <w:rPr>
          <w:sz w:val="19"/>
        </w:rPr>
      </w:pPr>
    </w:p>
    <w:p>
      <w:pPr>
        <w:pStyle w:val="ListParagraph"/>
        <w:numPr>
          <w:ilvl w:val="1"/>
          <w:numId w:val="2"/>
        </w:numPr>
        <w:tabs>
          <w:tab w:pos="1115" w:val="left" w:leader="none"/>
        </w:tabs>
        <w:spacing w:line="240" w:lineRule="auto" w:before="0" w:after="0"/>
        <w:ind w:left="1114" w:right="0" w:hanging="277"/>
        <w:jc w:val="both"/>
        <w:rPr>
          <w:sz w:val="20"/>
        </w:rPr>
      </w:pPr>
      <w:r>
        <w:rPr>
          <w:sz w:val="20"/>
        </w:rPr>
        <w:t>El tercero interesado, pudiendo tener tal</w:t>
      </w:r>
      <w:r>
        <w:rPr>
          <w:spacing w:val="-8"/>
          <w:sz w:val="20"/>
        </w:rPr>
        <w:t> </w:t>
      </w:r>
      <w:r>
        <w:rPr>
          <w:sz w:val="20"/>
        </w:rPr>
        <w:t>carácter:</w:t>
      </w:r>
    </w:p>
    <w:p>
      <w:pPr>
        <w:pStyle w:val="BodyText"/>
        <w:spacing w:before="1"/>
      </w:pPr>
    </w:p>
    <w:p>
      <w:pPr>
        <w:pStyle w:val="ListParagraph"/>
        <w:numPr>
          <w:ilvl w:val="2"/>
          <w:numId w:val="2"/>
        </w:numPr>
        <w:tabs>
          <w:tab w:pos="1490" w:val="left" w:leader="none"/>
        </w:tabs>
        <w:spacing w:line="242" w:lineRule="auto" w:before="0" w:after="0"/>
        <w:ind w:left="1198" w:right="126" w:firstLine="0"/>
        <w:jc w:val="both"/>
        <w:rPr>
          <w:sz w:val="20"/>
        </w:rPr>
      </w:pPr>
      <w:r>
        <w:rPr>
          <w:sz w:val="20"/>
        </w:rPr>
        <w:t>La persona que haya gestionado el acto reclamado o tenga interés jurídico en que subsista;</w:t>
      </w:r>
    </w:p>
    <w:p>
      <w:pPr>
        <w:pStyle w:val="BodyText"/>
        <w:spacing w:before="6"/>
        <w:rPr>
          <w:sz w:val="19"/>
        </w:rPr>
      </w:pPr>
    </w:p>
    <w:p>
      <w:pPr>
        <w:pStyle w:val="ListParagraph"/>
        <w:numPr>
          <w:ilvl w:val="2"/>
          <w:numId w:val="2"/>
        </w:numPr>
        <w:tabs>
          <w:tab w:pos="1468" w:val="left" w:leader="none"/>
        </w:tabs>
        <w:spacing w:line="242" w:lineRule="auto" w:before="0" w:after="0"/>
        <w:ind w:left="1198" w:right="123" w:firstLine="0"/>
        <w:jc w:val="both"/>
        <w:rPr>
          <w:sz w:val="20"/>
        </w:rPr>
      </w:pPr>
      <w:r>
        <w:rPr>
          <w:sz w:val="20"/>
        </w:rPr>
        <w:t>La contraparte del quejoso cuando el acto reclamado emane de un juicio o controversia del orden judicial, administrativo, agrario o del trabajo; o tratándose de persona extraña al procedimiento, la que tenga interés contrario al del</w:t>
      </w:r>
      <w:r>
        <w:rPr>
          <w:spacing w:val="-5"/>
          <w:sz w:val="20"/>
        </w:rPr>
        <w:t> </w:t>
      </w:r>
      <w:r>
        <w:rPr>
          <w:sz w:val="20"/>
        </w:rPr>
        <w:t>quejoso;</w:t>
      </w:r>
    </w:p>
    <w:p>
      <w:pPr>
        <w:pStyle w:val="BodyText"/>
        <w:spacing w:before="6"/>
        <w:rPr>
          <w:sz w:val="19"/>
        </w:rPr>
      </w:pPr>
    </w:p>
    <w:p>
      <w:pPr>
        <w:pStyle w:val="ListParagraph"/>
        <w:numPr>
          <w:ilvl w:val="2"/>
          <w:numId w:val="2"/>
        </w:numPr>
        <w:tabs>
          <w:tab w:pos="1473" w:val="left" w:leader="none"/>
        </w:tabs>
        <w:spacing w:line="240" w:lineRule="auto" w:before="0" w:after="0"/>
        <w:ind w:left="1198" w:right="124" w:firstLine="0"/>
        <w:jc w:val="both"/>
        <w:rPr>
          <w:sz w:val="20"/>
        </w:rPr>
      </w:pPr>
      <w:r>
        <w:rPr>
          <w:sz w:val="20"/>
        </w:rPr>
        <w:t>La víctima del delito u ofendido, o quien tenga derecho a la reparación del daño o a reclamar la responsabilidad civil, cuando el acto reclamado emane de un juicio del orden penal y afecte de manera directa esa reparación o</w:t>
      </w:r>
      <w:r>
        <w:rPr>
          <w:spacing w:val="-6"/>
          <w:sz w:val="20"/>
        </w:rPr>
        <w:t> </w:t>
      </w:r>
      <w:r>
        <w:rPr>
          <w:sz w:val="20"/>
        </w:rPr>
        <w:t>responsabilidad;</w:t>
      </w:r>
    </w:p>
    <w:p>
      <w:pPr>
        <w:pStyle w:val="BodyText"/>
        <w:spacing w:before="11"/>
        <w:rPr>
          <w:sz w:val="19"/>
        </w:rPr>
      </w:pPr>
    </w:p>
    <w:p>
      <w:pPr>
        <w:pStyle w:val="ListParagraph"/>
        <w:numPr>
          <w:ilvl w:val="2"/>
          <w:numId w:val="2"/>
        </w:numPr>
        <w:tabs>
          <w:tab w:pos="1446" w:val="left" w:leader="none"/>
        </w:tabs>
        <w:spacing w:line="242" w:lineRule="auto" w:before="0" w:after="0"/>
        <w:ind w:left="1198" w:right="124" w:firstLine="0"/>
        <w:jc w:val="both"/>
        <w:rPr>
          <w:sz w:val="20"/>
        </w:rPr>
      </w:pPr>
      <w:r>
        <w:rPr>
          <w:sz w:val="20"/>
        </w:rPr>
        <w:t>El indiciado o procesado cuando el acto reclamado sea el no ejercicio o el desistimiento de la acción penal por el Ministerio</w:t>
      </w:r>
      <w:r>
        <w:rPr>
          <w:spacing w:val="-7"/>
          <w:sz w:val="20"/>
        </w:rPr>
        <w:t> </w:t>
      </w:r>
      <w:r>
        <w:rPr>
          <w:sz w:val="20"/>
        </w:rPr>
        <w:t>Público;</w:t>
      </w:r>
    </w:p>
    <w:p>
      <w:pPr>
        <w:pStyle w:val="BodyText"/>
        <w:spacing w:before="8"/>
        <w:rPr>
          <w:sz w:val="19"/>
        </w:rPr>
      </w:pPr>
    </w:p>
    <w:p>
      <w:pPr>
        <w:pStyle w:val="ListParagraph"/>
        <w:numPr>
          <w:ilvl w:val="2"/>
          <w:numId w:val="2"/>
        </w:numPr>
        <w:tabs>
          <w:tab w:pos="1434" w:val="left" w:leader="none"/>
        </w:tabs>
        <w:spacing w:line="240" w:lineRule="auto" w:before="0" w:after="0"/>
        <w:ind w:left="1198" w:right="125" w:firstLine="0"/>
        <w:jc w:val="both"/>
        <w:rPr>
          <w:sz w:val="20"/>
        </w:rPr>
      </w:pPr>
      <w:r>
        <w:rPr>
          <w:sz w:val="20"/>
        </w:rPr>
        <w:t>El Ministerio Público que haya intervenido en el procedimiento penal del cual derive el acto reclamado, siempre y cuando no tenga el carácter de autoridad</w:t>
      </w:r>
      <w:r>
        <w:rPr>
          <w:spacing w:val="-8"/>
          <w:sz w:val="20"/>
        </w:rPr>
        <w:t> </w:t>
      </w:r>
      <w:r>
        <w:rPr>
          <w:sz w:val="20"/>
        </w:rPr>
        <w:t>responsable.</w:t>
      </w:r>
    </w:p>
    <w:p>
      <w:pPr>
        <w:pStyle w:val="BodyText"/>
        <w:spacing w:before="11"/>
        <w:rPr>
          <w:sz w:val="19"/>
        </w:rPr>
      </w:pPr>
    </w:p>
    <w:p>
      <w:pPr>
        <w:pStyle w:val="ListParagraph"/>
        <w:numPr>
          <w:ilvl w:val="1"/>
          <w:numId w:val="2"/>
        </w:numPr>
        <w:tabs>
          <w:tab w:pos="1166" w:val="left" w:leader="none"/>
        </w:tabs>
        <w:spacing w:line="240" w:lineRule="auto" w:before="0" w:after="0"/>
        <w:ind w:left="838" w:right="121" w:firstLine="0"/>
        <w:jc w:val="both"/>
        <w:rPr>
          <w:sz w:val="20"/>
        </w:rPr>
      </w:pPr>
      <w:r>
        <w:rPr>
          <w:sz w:val="20"/>
        </w:rPr>
        <w:t>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w:t>
      </w:r>
      <w:r>
        <w:rPr>
          <w:spacing w:val="-5"/>
          <w:sz w:val="20"/>
        </w:rPr>
        <w:t> </w:t>
      </w:r>
      <w:r>
        <w:rPr>
          <w:sz w:val="20"/>
        </w:rPr>
        <w:t>justicia.</w:t>
      </w:r>
    </w:p>
    <w:p>
      <w:pPr>
        <w:pStyle w:val="BodyText"/>
        <w:spacing w:before="2"/>
      </w:pPr>
    </w:p>
    <w:p>
      <w:pPr>
        <w:pStyle w:val="BodyText"/>
        <w:ind w:left="118" w:right="123" w:firstLine="288"/>
        <w:jc w:val="both"/>
      </w:pPr>
      <w:r>
        <w:rP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pPr>
        <w:pStyle w:val="BodyText"/>
        <w:spacing w:before="9"/>
        <w:rPr>
          <w:sz w:val="19"/>
        </w:rPr>
      </w:pPr>
    </w:p>
    <w:p>
      <w:pPr>
        <w:pStyle w:val="BodyText"/>
        <w:spacing w:line="242" w:lineRule="auto"/>
        <w:ind w:left="118" w:right="116" w:firstLine="288"/>
        <w:jc w:val="both"/>
      </w:pPr>
      <w:bookmarkStart w:name="Artículo_6o" w:id="6"/>
      <w:bookmarkEnd w:id="6"/>
      <w:r>
        <w:rPr/>
      </w:r>
      <w:r>
        <w:rPr>
          <w:b/>
        </w:rPr>
        <w:t>Artículo 6o. </w:t>
      </w:r>
      <w:r>
        <w:rPr/>
        <w:t>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pPr>
        <w:pStyle w:val="BodyText"/>
        <w:spacing w:before="5"/>
        <w:rPr>
          <w:sz w:val="19"/>
        </w:rPr>
      </w:pPr>
    </w:p>
    <w:p>
      <w:pPr>
        <w:pStyle w:val="BodyText"/>
        <w:ind w:left="118" w:right="124" w:firstLine="288"/>
        <w:jc w:val="both"/>
      </w:pPr>
      <w:r>
        <w:rPr/>
        <w:t>Cuando el acto reclamado derive de un procedimiento penal, podrá promoverlo, además, por conducto de su defensor o de cualquier persona en los casos en que esta Ley lo</w:t>
      </w:r>
      <w:r>
        <w:rPr>
          <w:spacing w:val="-9"/>
        </w:rPr>
        <w:t> </w:t>
      </w:r>
      <w:r>
        <w:rPr/>
        <w:t>permita.</w:t>
      </w:r>
    </w:p>
    <w:p>
      <w:pPr>
        <w:pStyle w:val="BodyText"/>
        <w:spacing w:before="10"/>
        <w:rPr>
          <w:sz w:val="19"/>
        </w:rPr>
      </w:pPr>
    </w:p>
    <w:p>
      <w:pPr>
        <w:pStyle w:val="BodyText"/>
        <w:ind w:left="118" w:right="115" w:firstLine="288"/>
        <w:jc w:val="both"/>
      </w:pPr>
      <w:bookmarkStart w:name="Artículo_7o" w:id="7"/>
      <w:bookmarkEnd w:id="7"/>
      <w:r>
        <w:rPr/>
      </w:r>
      <w:r>
        <w:rPr>
          <w:b/>
        </w:rPr>
        <w:t>Artículo 7o. </w:t>
      </w:r>
      <w:r>
        <w:rPr/>
        <w:t>La Federación, los Estados, el Distrito Federal, los municipios o cualquier persona moral pública podrán solicitar amparo por conducto de los servidores públicos o representantes que señalen las disposiciones aplicables, cuando la norma general, un acto u omisión los afecten en su patrimonio respecto de relaciones jurídicas en las que se encuentren en un plano de igualdad con los particulares.</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14" w:firstLine="288"/>
        <w:jc w:val="both"/>
      </w:pPr>
      <w:r>
        <w:rPr/>
        <w:t>Las personas morales oficiales estarán exentas de prestar las garantías que en esta Ley se exige a las</w:t>
      </w:r>
      <w:r>
        <w:rPr>
          <w:spacing w:val="-1"/>
        </w:rPr>
        <w:t> </w:t>
      </w:r>
      <w:r>
        <w:rPr/>
        <w:t>partes.</w:t>
      </w:r>
    </w:p>
    <w:p>
      <w:pPr>
        <w:pStyle w:val="BodyText"/>
        <w:spacing w:before="11"/>
        <w:rPr>
          <w:sz w:val="19"/>
        </w:rPr>
      </w:pPr>
    </w:p>
    <w:p>
      <w:pPr>
        <w:pStyle w:val="BodyText"/>
        <w:ind w:left="118" w:right="116" w:firstLine="288"/>
        <w:jc w:val="both"/>
      </w:pPr>
      <w:bookmarkStart w:name="Artículo_8o" w:id="8"/>
      <w:bookmarkEnd w:id="8"/>
      <w:r>
        <w:rPr/>
      </w:r>
      <w:r>
        <w:rPr>
          <w:b/>
        </w:rPr>
        <w:t>Artículo 8o. </w:t>
      </w:r>
      <w:r>
        <w:rPr/>
        <w:t>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pPr>
        <w:pStyle w:val="BodyText"/>
      </w:pPr>
    </w:p>
    <w:p>
      <w:pPr>
        <w:pStyle w:val="BodyText"/>
        <w:ind w:left="118" w:right="124" w:firstLine="288"/>
        <w:jc w:val="both"/>
      </w:pPr>
      <w:r>
        <w:rPr/>
        <w:t>Si el menor hubiere cumplido catorce años, podrá hacer la designación de representante en el escrito de demanda.</w:t>
      </w:r>
    </w:p>
    <w:p>
      <w:pPr>
        <w:pStyle w:val="BodyText"/>
      </w:pPr>
    </w:p>
    <w:p>
      <w:pPr>
        <w:pStyle w:val="BodyText"/>
        <w:ind w:left="118" w:right="114" w:firstLine="288"/>
        <w:jc w:val="both"/>
      </w:pPr>
      <w:bookmarkStart w:name="Artículo_9o" w:id="9"/>
      <w:bookmarkEnd w:id="9"/>
      <w:r>
        <w:rPr/>
      </w:r>
      <w:r>
        <w:rPr>
          <w:b/>
        </w:rPr>
        <w:t>Artículo 9o. </w:t>
      </w:r>
      <w:r>
        <w:rPr/>
        <w:t>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pPr>
        <w:pStyle w:val="BodyText"/>
        <w:spacing w:before="2"/>
      </w:pPr>
    </w:p>
    <w:p>
      <w:pPr>
        <w:pStyle w:val="BodyText"/>
        <w:ind w:left="118" w:right="118" w:firstLine="288"/>
        <w:jc w:val="both"/>
      </w:pPr>
      <w:r>
        <w:rPr/>
        <w:t>El Presidente de la República será representado en los términos que se señalen en el acuerdo  general que expida y se publique en el Diario Oficial de la Federación. Dicha representación podrá recaer en el propio Consejero Jurídico, en el Procurador General de la República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w:t>
      </w:r>
      <w:r>
        <w:rPr>
          <w:spacing w:val="-5"/>
        </w:rPr>
        <w:t> </w:t>
      </w:r>
      <w:r>
        <w:rPr/>
        <w:t>mismos.</w:t>
      </w:r>
    </w:p>
    <w:p>
      <w:pPr>
        <w:pStyle w:val="BodyText"/>
        <w:spacing w:before="1"/>
      </w:pPr>
    </w:p>
    <w:p>
      <w:pPr>
        <w:pStyle w:val="BodyText"/>
        <w:ind w:left="118" w:right="115" w:firstLine="288"/>
        <w:jc w:val="both"/>
      </w:pPr>
      <w:r>
        <w:rPr/>
        <w:t>Los órganos legislativos federales, de los Estados y del Distrito Federal, así como los gobernadores y jefe de gobierno de éstos, procuradores General de la República y de las entidades federativas,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pPr>
        <w:pStyle w:val="BodyText"/>
        <w:spacing w:before="9"/>
        <w:rPr>
          <w:sz w:val="19"/>
        </w:rPr>
      </w:pPr>
    </w:p>
    <w:p>
      <w:pPr>
        <w:pStyle w:val="BodyText"/>
        <w:ind w:left="118" w:right="120" w:firstLine="288"/>
        <w:jc w:val="both"/>
      </w:pPr>
      <w:r>
        <w:rPr/>
        <w:t>Cuando el responsable sea una o varias personas particulares, en los términos establecidos en la presente Ley, podrán comparecer por sí mismos, por conducto de un representante legal o por conducto de un apoderado.</w:t>
      </w:r>
    </w:p>
    <w:p>
      <w:pPr>
        <w:pStyle w:val="BodyText"/>
      </w:pPr>
    </w:p>
    <w:p>
      <w:pPr>
        <w:pStyle w:val="BodyText"/>
        <w:spacing w:line="242" w:lineRule="auto"/>
        <w:ind w:left="118" w:right="117" w:firstLine="288"/>
        <w:jc w:val="both"/>
      </w:pPr>
      <w:bookmarkStart w:name="Artículo_10" w:id="10"/>
      <w:bookmarkEnd w:id="10"/>
      <w:r>
        <w:rPr/>
      </w:r>
      <w:r>
        <w:rPr>
          <w:b/>
        </w:rPr>
        <w:t>Artículo 10. </w:t>
      </w:r>
      <w:r>
        <w:rPr/>
        <w:t>La representación del quejoso y del tercero interesado se acreditará en juicio en los términos previstos en esta Ley.</w:t>
      </w:r>
    </w:p>
    <w:p>
      <w:pPr>
        <w:pStyle w:val="BodyText"/>
        <w:spacing w:before="8"/>
        <w:rPr>
          <w:sz w:val="19"/>
        </w:rPr>
      </w:pPr>
    </w:p>
    <w:p>
      <w:pPr>
        <w:pStyle w:val="BodyText"/>
        <w:ind w:left="118" w:right="117" w:firstLine="288"/>
        <w:jc w:val="both"/>
      </w:pPr>
      <w:r>
        <w:rPr/>
        <w:t>En los casos no previstos, la personalidad en el juicio se justificará en la misma forma que determine la ley que rija la materia de la que emane el acto reclamado y cuando ésta no lo prevenga, se </w:t>
      </w:r>
      <w:r>
        <w:rPr>
          <w:spacing w:val="2"/>
        </w:rPr>
        <w:t>estará </w:t>
      </w:r>
      <w:r>
        <w:rPr/>
        <w:t>a lo dispuesto por el Código Federal de Procedimientos</w:t>
      </w:r>
      <w:r>
        <w:rPr>
          <w:spacing w:val="-3"/>
        </w:rPr>
        <w:t> </w:t>
      </w:r>
      <w:r>
        <w:rPr/>
        <w:t>Civiles.</w:t>
      </w:r>
    </w:p>
    <w:p>
      <w:pPr>
        <w:pStyle w:val="BodyText"/>
        <w:spacing w:before="2"/>
      </w:pPr>
    </w:p>
    <w:p>
      <w:pPr>
        <w:pStyle w:val="BodyText"/>
        <w:ind w:left="118" w:right="127" w:firstLine="288"/>
        <w:jc w:val="both"/>
      </w:pPr>
      <w:r>
        <w:rPr/>
        <w:t>Cuando se trate del Ministerio Público o cualquier otra autoridad, se aplicarán las reglas del artículo anterior.</w:t>
      </w:r>
    </w:p>
    <w:p>
      <w:pPr>
        <w:pStyle w:val="BodyText"/>
        <w:spacing w:before="8"/>
        <w:rPr>
          <w:sz w:val="19"/>
        </w:rPr>
      </w:pPr>
    </w:p>
    <w:p>
      <w:pPr>
        <w:pStyle w:val="BodyText"/>
        <w:spacing w:line="242" w:lineRule="auto"/>
        <w:ind w:left="118" w:right="115" w:firstLine="288"/>
        <w:jc w:val="both"/>
      </w:pPr>
      <w:bookmarkStart w:name="Artículo_11" w:id="11"/>
      <w:bookmarkEnd w:id="11"/>
      <w:r>
        <w:rPr/>
      </w:r>
      <w:r>
        <w:rPr>
          <w:b/>
        </w:rPr>
        <w:t>Artículo 11. </w:t>
      </w:r>
      <w:r>
        <w:rPr/>
        <w:t>Cuando quien comparezca en el juicio de amparo indirecto en nombre del quejoso o del tercero interesado afirme tener reconocida su representación ante la autoridad responsable, le será admitida siempre que lo acredite con las constancias respectivas, salvo en materia penal en la que bastará la afirmación en ese sentido.</w:t>
      </w:r>
    </w:p>
    <w:p>
      <w:pPr>
        <w:pStyle w:val="BodyText"/>
        <w:spacing w:before="4"/>
        <w:rPr>
          <w:sz w:val="19"/>
        </w:rPr>
      </w:pPr>
    </w:p>
    <w:p>
      <w:pPr>
        <w:pStyle w:val="BodyText"/>
        <w:ind w:left="118" w:right="126" w:firstLine="288"/>
        <w:jc w:val="both"/>
      </w:pPr>
      <w:r>
        <w:rPr/>
        <w:t>En el amparo directo podrá justificarse con la acreditación que tenga en el juicio del que emane la resolución reclamada.</w:t>
      </w:r>
    </w:p>
    <w:p>
      <w:pPr>
        <w:spacing w:after="0"/>
        <w:jc w:val="both"/>
        <w:sectPr>
          <w:pgSz w:w="12240" w:h="15840"/>
          <w:pgMar w:header="708" w:footer="712" w:top="1760" w:bottom="900" w:left="1300" w:right="1300"/>
        </w:sectPr>
      </w:pPr>
    </w:p>
    <w:p>
      <w:pPr>
        <w:pStyle w:val="BodyText"/>
      </w:pPr>
    </w:p>
    <w:p>
      <w:pPr>
        <w:pStyle w:val="BodyText"/>
        <w:spacing w:before="8"/>
        <w:rPr>
          <w:sz w:val="27"/>
        </w:rPr>
      </w:pPr>
    </w:p>
    <w:p>
      <w:pPr>
        <w:pStyle w:val="BodyText"/>
        <w:spacing w:before="93"/>
        <w:ind w:left="118" w:right="126" w:firstLine="288"/>
        <w:jc w:val="both"/>
      </w:pPr>
      <w:r>
        <w:rPr/>
        <w:t>La autoridad responsable que reciba la demanda expresará en el informe justificado si el promovente tiene el carácter con que se ostenta.</w:t>
      </w:r>
    </w:p>
    <w:p>
      <w:pPr>
        <w:pStyle w:val="BodyText"/>
        <w:spacing w:before="8"/>
        <w:rPr>
          <w:sz w:val="19"/>
        </w:rPr>
      </w:pPr>
    </w:p>
    <w:p>
      <w:pPr>
        <w:pStyle w:val="BodyText"/>
        <w:ind w:left="118" w:right="117" w:firstLine="288"/>
        <w:jc w:val="both"/>
      </w:pPr>
      <w:bookmarkStart w:name="Artículo_12" w:id="12"/>
      <w:bookmarkEnd w:id="12"/>
      <w:r>
        <w:rPr/>
      </w:r>
      <w:r>
        <w:rPr>
          <w:b/>
        </w:rPr>
        <w:t>Artículo 12. </w:t>
      </w:r>
      <w:r>
        <w:rPr/>
        <w:t>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w:t>
      </w:r>
      <w:r>
        <w:rPr>
          <w:spacing w:val="-1"/>
        </w:rPr>
        <w:t> </w:t>
      </w:r>
      <w:r>
        <w:rPr/>
        <w:t>tercero.</w:t>
      </w:r>
    </w:p>
    <w:p>
      <w:pPr>
        <w:pStyle w:val="BodyText"/>
        <w:spacing w:before="2"/>
      </w:pPr>
    </w:p>
    <w:p>
      <w:pPr>
        <w:pStyle w:val="BodyText"/>
        <w:ind w:left="118" w:right="120" w:firstLine="288"/>
        <w:jc w:val="both"/>
      </w:pPr>
      <w:r>
        <w:rP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21" w:firstLine="288"/>
        <w:jc w:val="both"/>
      </w:pPr>
      <w:bookmarkStart w:name="Artículo_13" w:id="13"/>
      <w:bookmarkEnd w:id="13"/>
      <w:r>
        <w:rPr/>
      </w:r>
      <w:r>
        <w:rPr>
          <w:b/>
        </w:rPr>
        <w:t>Artículo 13. </w:t>
      </w:r>
      <w:r>
        <w:rPr/>
        <w:t>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w:t>
      </w:r>
      <w:r>
        <w:rPr>
          <w:spacing w:val="-3"/>
        </w:rPr>
        <w:t> </w:t>
      </w:r>
      <w:r>
        <w:rPr/>
        <w:t>común.</w:t>
      </w:r>
    </w:p>
    <w:p>
      <w:pPr>
        <w:pStyle w:val="BodyText"/>
        <w:spacing w:before="2"/>
      </w:pPr>
    </w:p>
    <w:p>
      <w:pPr>
        <w:pStyle w:val="BodyText"/>
        <w:ind w:left="118" w:right="117" w:firstLine="288"/>
        <w:jc w:val="both"/>
      </w:pPr>
      <w:r>
        <w:rP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 lo conducente y dictará las providencias que resulten</w:t>
      </w:r>
      <w:r>
        <w:rPr>
          <w:spacing w:val="-20"/>
        </w:rPr>
        <w:t> </w:t>
      </w:r>
      <w:r>
        <w:rPr/>
        <w:t>necesarias.</w:t>
      </w:r>
    </w:p>
    <w:p>
      <w:pPr>
        <w:pStyle w:val="BodyText"/>
        <w:spacing w:before="8"/>
        <w:rPr>
          <w:sz w:val="19"/>
        </w:rPr>
      </w:pPr>
    </w:p>
    <w:p>
      <w:pPr>
        <w:pStyle w:val="BodyText"/>
        <w:spacing w:line="242" w:lineRule="auto"/>
        <w:ind w:left="118" w:right="116" w:firstLine="288"/>
        <w:jc w:val="both"/>
      </w:pPr>
      <w:bookmarkStart w:name="Artículo_14" w:id="14"/>
      <w:bookmarkEnd w:id="14"/>
      <w:r>
        <w:rPr/>
      </w:r>
      <w:r>
        <w:rPr>
          <w:b/>
        </w:rPr>
        <w:t>Artículo 14. </w:t>
      </w:r>
      <w:r>
        <w:rPr/>
        <w:t>Para el trámite de la demanda de amparo indirecto en materia penal bastará que el defensor manifieste, bajo protesta de decir verdad, tener tal carácter. En este caso, la autoridad ante quien se presente la demanda pedirá al juez o tribual que conozca del asunto, que le remita la certificación</w:t>
      </w:r>
      <w:r>
        <w:rPr>
          <w:spacing w:val="-2"/>
        </w:rPr>
        <w:t> </w:t>
      </w:r>
      <w:r>
        <w:rPr/>
        <w:t>correspondiente.</w:t>
      </w:r>
    </w:p>
    <w:p>
      <w:pPr>
        <w:pStyle w:val="BodyText"/>
        <w:spacing w:before="7"/>
        <w:rPr>
          <w:sz w:val="19"/>
        </w:rPr>
      </w:pPr>
    </w:p>
    <w:p>
      <w:pPr>
        <w:pStyle w:val="BodyText"/>
        <w:ind w:left="118" w:right="122" w:firstLine="288"/>
        <w:jc w:val="both"/>
      </w:pPr>
      <w:r>
        <w:rPr/>
        <w:t>Si el promovente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pPr>
        <w:pStyle w:val="BodyText"/>
      </w:pPr>
    </w:p>
    <w:p>
      <w:pPr>
        <w:pStyle w:val="BodyText"/>
        <w:ind w:left="118" w:right="119" w:firstLine="288"/>
        <w:jc w:val="both"/>
      </w:pPr>
      <w:r>
        <w:rP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pPr>
        <w:pStyle w:val="BodyText"/>
        <w:spacing w:before="9"/>
        <w:rPr>
          <w:sz w:val="19"/>
        </w:rPr>
      </w:pPr>
    </w:p>
    <w:p>
      <w:pPr>
        <w:pStyle w:val="BodyText"/>
        <w:spacing w:before="1"/>
        <w:ind w:left="118" w:right="120" w:firstLine="288"/>
        <w:jc w:val="both"/>
      </w:pPr>
      <w:bookmarkStart w:name="Artículo_15" w:id="15"/>
      <w:bookmarkEnd w:id="15"/>
      <w:r>
        <w:rPr/>
      </w:r>
      <w:r>
        <w:rPr>
          <w:b/>
        </w:rPr>
        <w:t>Artículo 15. </w:t>
      </w:r>
      <w:r>
        <w:rPr/>
        <w:t>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w:t>
      </w:r>
      <w:r>
        <w:rPr>
          <w:spacing w:val="-7"/>
        </w:rPr>
        <w:t> </w:t>
      </w:r>
      <w:r>
        <w:rPr/>
        <w:t>edad.</w:t>
      </w:r>
    </w:p>
    <w:p>
      <w:pPr>
        <w:spacing w:after="0"/>
        <w:jc w:val="both"/>
        <w:sectPr>
          <w:pgSz w:w="12240" w:h="15840"/>
          <w:pgMar w:header="708" w:footer="712" w:top="1760" w:bottom="900" w:left="1300" w:right="1300"/>
        </w:sectPr>
      </w:pPr>
    </w:p>
    <w:p>
      <w:pPr>
        <w:pStyle w:val="BodyText"/>
      </w:pPr>
    </w:p>
    <w:p>
      <w:pPr>
        <w:pStyle w:val="BodyText"/>
        <w:spacing w:before="8"/>
        <w:rPr>
          <w:sz w:val="27"/>
        </w:rPr>
      </w:pPr>
    </w:p>
    <w:p>
      <w:pPr>
        <w:pStyle w:val="BodyText"/>
        <w:spacing w:before="93"/>
        <w:ind w:left="118" w:right="119" w:firstLine="288"/>
        <w:jc w:val="both"/>
      </w:pPr>
      <w:r>
        <w:rPr/>
        <w:t>En estos casos, el órgano jurisdiccional de amparo decretará la suspensión de los actos reclamados, y dictará todas las medidas necesarias para lograr la comparecencia del</w:t>
      </w:r>
      <w:r>
        <w:rPr>
          <w:spacing w:val="-5"/>
        </w:rPr>
        <w:t> </w:t>
      </w:r>
      <w:r>
        <w:rPr/>
        <w:t>agraviado.</w:t>
      </w:r>
    </w:p>
    <w:p>
      <w:pPr>
        <w:pStyle w:val="BodyText"/>
        <w:spacing w:before="10"/>
        <w:rPr>
          <w:sz w:val="19"/>
        </w:rPr>
      </w:pPr>
    </w:p>
    <w:p>
      <w:pPr>
        <w:pStyle w:val="BodyText"/>
        <w:ind w:left="118" w:right="124" w:firstLine="288"/>
        <w:jc w:val="both"/>
      </w:pPr>
      <w:r>
        <w:rPr/>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pPr>
        <w:pStyle w:val="BodyText"/>
      </w:pPr>
    </w:p>
    <w:p>
      <w:pPr>
        <w:pStyle w:val="BodyText"/>
        <w:ind w:left="118" w:right="116" w:firstLine="288"/>
        <w:jc w:val="both"/>
      </w:pPr>
      <w:r>
        <w:rP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Procurador General de la República. Cuando haya solicitud expresa de la Comisión Nacional de los Derechos Humanos, se remitirá copia certificada de lo actuado en estos casos.</w:t>
      </w:r>
    </w:p>
    <w:p>
      <w:pPr>
        <w:pStyle w:val="BodyText"/>
        <w:spacing w:before="1"/>
      </w:pPr>
    </w:p>
    <w:p>
      <w:pPr>
        <w:pStyle w:val="BodyText"/>
        <w:ind w:left="406"/>
      </w:pPr>
      <w:r>
        <w:rPr/>
        <w:t>Transcurrido un año sin que nadie se apersone en el juicio, se tendrá por no interpuesta la demanda.</w:t>
      </w:r>
    </w:p>
    <w:p>
      <w:pPr>
        <w:pStyle w:val="BodyText"/>
        <w:spacing w:before="1"/>
      </w:pPr>
    </w:p>
    <w:p>
      <w:pPr>
        <w:pStyle w:val="BodyText"/>
        <w:ind w:left="118" w:right="116" w:firstLine="288"/>
        <w:jc w:val="both"/>
      </w:pPr>
      <w:r>
        <w:rP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w:t>
      </w:r>
      <w:r>
        <w:rPr>
          <w:spacing w:val="-15"/>
        </w:rPr>
        <w:t> </w:t>
      </w:r>
      <w:r>
        <w:rPr/>
        <w:t>persona.</w:t>
      </w:r>
    </w:p>
    <w:p>
      <w:pPr>
        <w:pStyle w:val="BodyText"/>
        <w:spacing w:before="8"/>
        <w:rPr>
          <w:sz w:val="19"/>
        </w:rPr>
      </w:pPr>
    </w:p>
    <w:p>
      <w:pPr>
        <w:pStyle w:val="BodyText"/>
        <w:spacing w:line="242" w:lineRule="auto"/>
        <w:ind w:left="118" w:right="120" w:firstLine="288"/>
        <w:jc w:val="both"/>
      </w:pPr>
      <w:bookmarkStart w:name="Artículo_16" w:id="16"/>
      <w:bookmarkEnd w:id="16"/>
      <w:r>
        <w:rPr/>
      </w:r>
      <w:r>
        <w:rPr>
          <w:b/>
        </w:rPr>
        <w:t>Artículo 16. </w:t>
      </w:r>
      <w:r>
        <w:rPr/>
        <w:t>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pPr>
        <w:pStyle w:val="BodyText"/>
        <w:spacing w:before="9"/>
        <w:rPr>
          <w:sz w:val="19"/>
        </w:rPr>
      </w:pPr>
    </w:p>
    <w:p>
      <w:pPr>
        <w:pStyle w:val="BodyText"/>
        <w:ind w:left="118" w:right="116" w:firstLine="288"/>
        <w:jc w:val="both"/>
      </w:pPr>
      <w:r>
        <w:rPr/>
        <w:t>Si el fallecido no tiene representación legal en el juicio, éste se suspenderá inmediatamente que </w:t>
      </w:r>
      <w:r>
        <w:rPr>
          <w:spacing w:val="6"/>
        </w:rPr>
        <w:t>se</w:t>
      </w:r>
      <w:r>
        <w:rPr>
          <w:spacing w:val="67"/>
        </w:rPr>
        <w:t> </w:t>
      </w:r>
      <w:r>
        <w:rPr/>
        <w:t>tenga conocimiento de la defunción. Si la sucesión no interviene dentro del plazo de sesenta días siguientes al en que se decrete la suspensión, el juez ordenará lo conducente según el caso de que se trate.</w:t>
      </w:r>
    </w:p>
    <w:p>
      <w:pPr>
        <w:pStyle w:val="BodyText"/>
      </w:pPr>
    </w:p>
    <w:p>
      <w:pPr>
        <w:pStyle w:val="BodyText"/>
        <w:ind w:left="118" w:right="119" w:firstLine="288"/>
        <w:jc w:val="both"/>
      </w:pPr>
      <w:r>
        <w:rPr/>
        <w:t>Cualquiera de las partes que tenga noticia del fallecimiento del quejoso o del tercero interesado deberá hacerlo del conocimiento del órgano jurisdiccional de amparo, acreditando tal circunstancia, o proporcionando los datos necesarios para ese</w:t>
      </w:r>
      <w:r>
        <w:rPr>
          <w:spacing w:val="-1"/>
        </w:rPr>
        <w:t> </w:t>
      </w:r>
      <w:r>
        <w:rPr/>
        <w:t>efecto.</w:t>
      </w:r>
    </w:p>
    <w:p>
      <w:pPr>
        <w:pStyle w:val="BodyText"/>
        <w:spacing w:before="8"/>
        <w:rPr>
          <w:sz w:val="19"/>
        </w:rPr>
      </w:pPr>
    </w:p>
    <w:p>
      <w:pPr>
        <w:pStyle w:val="Heading1"/>
        <w:spacing w:line="252" w:lineRule="exact" w:before="1"/>
        <w:ind w:left="607"/>
      </w:pPr>
      <w:r>
        <w:rPr/>
        <w:t>CAPÍTULO III</w:t>
      </w:r>
    </w:p>
    <w:p>
      <w:pPr>
        <w:spacing w:line="252" w:lineRule="exact" w:before="0"/>
        <w:ind w:left="607" w:right="603" w:firstLine="0"/>
        <w:jc w:val="center"/>
        <w:rPr>
          <w:b/>
          <w:sz w:val="22"/>
        </w:rPr>
      </w:pPr>
      <w:r>
        <w:rPr>
          <w:b/>
          <w:sz w:val="22"/>
        </w:rPr>
        <w:t>Plazos</w:t>
      </w:r>
    </w:p>
    <w:p>
      <w:pPr>
        <w:pStyle w:val="BodyText"/>
        <w:spacing w:before="1"/>
        <w:rPr>
          <w:b/>
        </w:rPr>
      </w:pPr>
    </w:p>
    <w:p>
      <w:pPr>
        <w:pStyle w:val="BodyText"/>
        <w:spacing w:before="1"/>
        <w:ind w:left="406"/>
      </w:pPr>
      <w:bookmarkStart w:name="Artículo_17" w:id="17"/>
      <w:bookmarkEnd w:id="17"/>
      <w:r>
        <w:rPr/>
      </w:r>
      <w:r>
        <w:rPr>
          <w:b/>
        </w:rPr>
        <w:t>Artículo 17. </w:t>
      </w:r>
      <w:r>
        <w:rPr/>
        <w:t>El plazo para presentar la demanda de amparo es de quince días, salvo:</w:t>
      </w:r>
    </w:p>
    <w:p>
      <w:pPr>
        <w:pStyle w:val="BodyText"/>
        <w:spacing w:before="9"/>
        <w:rPr>
          <w:sz w:val="19"/>
        </w:rPr>
      </w:pPr>
    </w:p>
    <w:p>
      <w:pPr>
        <w:pStyle w:val="ListParagraph"/>
        <w:numPr>
          <w:ilvl w:val="0"/>
          <w:numId w:val="3"/>
        </w:numPr>
        <w:tabs>
          <w:tab w:pos="838" w:val="left" w:leader="none"/>
          <w:tab w:pos="839" w:val="left" w:leader="none"/>
        </w:tabs>
        <w:spacing w:line="242" w:lineRule="auto" w:before="0" w:after="0"/>
        <w:ind w:left="838" w:right="125" w:hanging="432"/>
        <w:jc w:val="left"/>
        <w:rPr>
          <w:sz w:val="20"/>
        </w:rPr>
      </w:pPr>
      <w:r>
        <w:rPr>
          <w:sz w:val="20"/>
        </w:rPr>
        <w:t>Cuando se reclame una norma general autoaplicativa, o el procedimiento de extradición, en que será de treinta</w:t>
      </w:r>
      <w:r>
        <w:rPr>
          <w:spacing w:val="-4"/>
          <w:sz w:val="20"/>
        </w:rPr>
        <w:t> </w:t>
      </w:r>
      <w:r>
        <w:rPr>
          <w:sz w:val="20"/>
        </w:rPr>
        <w:t>días;</w:t>
      </w:r>
    </w:p>
    <w:p>
      <w:pPr>
        <w:pStyle w:val="BodyText"/>
        <w:spacing w:before="8"/>
        <w:rPr>
          <w:sz w:val="19"/>
        </w:rPr>
      </w:pPr>
    </w:p>
    <w:p>
      <w:pPr>
        <w:pStyle w:val="ListParagraph"/>
        <w:numPr>
          <w:ilvl w:val="0"/>
          <w:numId w:val="3"/>
        </w:numPr>
        <w:tabs>
          <w:tab w:pos="838" w:val="left" w:leader="none"/>
          <w:tab w:pos="839" w:val="left" w:leader="none"/>
        </w:tabs>
        <w:spacing w:line="242" w:lineRule="auto" w:before="1" w:after="0"/>
        <w:ind w:left="838" w:right="116" w:hanging="432"/>
        <w:jc w:val="left"/>
        <w:rPr>
          <w:sz w:val="20"/>
        </w:rPr>
      </w:pPr>
      <w:r>
        <w:rPr>
          <w:sz w:val="20"/>
        </w:rPr>
        <w:t>Cuando se reclame la sentencia definitiva condenatoria en un proceso penal, que imponga pena de prisión, podrá interponerse en un plazo de hasta ocho</w:t>
      </w:r>
      <w:r>
        <w:rPr>
          <w:spacing w:val="-9"/>
          <w:sz w:val="20"/>
        </w:rPr>
        <w:t> </w:t>
      </w:r>
      <w:r>
        <w:rPr>
          <w:sz w:val="20"/>
        </w:rPr>
        <w:t>años;</w:t>
      </w:r>
    </w:p>
    <w:p>
      <w:pPr>
        <w:spacing w:after="0" w:line="242" w:lineRule="auto"/>
        <w:jc w:val="left"/>
        <w:rPr>
          <w:sz w:val="20"/>
        </w:rPr>
        <w:sectPr>
          <w:pgSz w:w="12240" w:h="15840"/>
          <w:pgMar w:header="708" w:footer="712" w:top="1760" w:bottom="900" w:left="1300" w:right="1300"/>
        </w:sectPr>
      </w:pPr>
    </w:p>
    <w:p>
      <w:pPr>
        <w:pStyle w:val="BodyText"/>
        <w:spacing w:before="5"/>
        <w:rPr>
          <w:sz w:val="27"/>
        </w:rPr>
      </w:pPr>
    </w:p>
    <w:p>
      <w:pPr>
        <w:pStyle w:val="ListParagraph"/>
        <w:numPr>
          <w:ilvl w:val="0"/>
          <w:numId w:val="3"/>
        </w:numPr>
        <w:tabs>
          <w:tab w:pos="839" w:val="left" w:leader="none"/>
        </w:tabs>
        <w:spacing w:line="240" w:lineRule="auto" w:before="93" w:after="0"/>
        <w:ind w:left="838" w:right="116" w:hanging="432"/>
        <w:jc w:val="both"/>
        <w:rPr>
          <w:sz w:val="20"/>
        </w:rPr>
      </w:pPr>
      <w:r>
        <w:rPr>
          <w:sz w:val="20"/>
        </w:rPr>
        <w:t>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w:t>
      </w:r>
      <w:r>
        <w:rPr>
          <w:spacing w:val="-1"/>
          <w:sz w:val="20"/>
        </w:rPr>
        <w:t> </w:t>
      </w:r>
      <w:r>
        <w:rPr>
          <w:sz w:val="20"/>
        </w:rPr>
        <w:t>mencionados;</w:t>
      </w:r>
    </w:p>
    <w:p>
      <w:pPr>
        <w:pStyle w:val="BodyText"/>
      </w:pPr>
    </w:p>
    <w:p>
      <w:pPr>
        <w:pStyle w:val="ListParagraph"/>
        <w:numPr>
          <w:ilvl w:val="0"/>
          <w:numId w:val="3"/>
        </w:numPr>
        <w:tabs>
          <w:tab w:pos="839" w:val="left" w:leader="none"/>
        </w:tabs>
        <w:spacing w:line="240" w:lineRule="auto" w:before="0" w:after="0"/>
        <w:ind w:left="838" w:right="114" w:hanging="432"/>
        <w:jc w:val="both"/>
        <w:rPr>
          <w:sz w:val="20"/>
        </w:rPr>
      </w:pPr>
      <w:r>
        <w:rPr>
          <w:sz w:val="20"/>
        </w:rPr>
        <w:t>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w:t>
      </w:r>
      <w:r>
        <w:rPr>
          <w:spacing w:val="-2"/>
          <w:sz w:val="20"/>
        </w:rPr>
        <w:t> </w:t>
      </w:r>
      <w:r>
        <w:rPr>
          <w:sz w:val="20"/>
        </w:rPr>
        <w:t>tiempo.</w:t>
      </w:r>
    </w:p>
    <w:p>
      <w:pPr>
        <w:pStyle w:val="BodyText"/>
      </w:pPr>
    </w:p>
    <w:p>
      <w:pPr>
        <w:pStyle w:val="BodyText"/>
        <w:ind w:left="118" w:right="120" w:firstLine="288"/>
        <w:jc w:val="both"/>
      </w:pPr>
      <w:bookmarkStart w:name="Artículo_18" w:id="18"/>
      <w:bookmarkEnd w:id="18"/>
      <w:r>
        <w:rPr/>
      </w:r>
      <w:r>
        <w:rPr>
          <w:b/>
        </w:rPr>
        <w:t>Artículo 18. </w:t>
      </w:r>
      <w:r>
        <w:rPr/>
        <w:t>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pPr>
        <w:pStyle w:val="BodyText"/>
        <w:spacing w:before="1"/>
      </w:pPr>
    </w:p>
    <w:p>
      <w:pPr>
        <w:pStyle w:val="BodyText"/>
        <w:ind w:left="118" w:right="114" w:firstLine="288"/>
        <w:jc w:val="both"/>
      </w:pPr>
      <w:bookmarkStart w:name="Artículo_19" w:id="19"/>
      <w:bookmarkEnd w:id="19"/>
      <w:r>
        <w:rPr/>
      </w:r>
      <w:r>
        <w:rPr>
          <w:b/>
        </w:rPr>
        <w:t>Artículo 19. </w:t>
      </w:r>
      <w:r>
        <w:rPr/>
        <w:t>Son días hábiles para la promoción, substanciación y resolución de los juicios de amparo todos los del año, con excepción de los sábados y domingos, uno de enero, cinco de febrero, veintiuno  de marzo, uno y cinco de mayo, catorce y dieciséis de septiembre, doce de octubre, veinte de noviembre y veinticinco de diciembre, así como aquellos en que se suspendan las labores en el órgano jurisdiccional ante el cual se tramite el juicio de amparo, o cuando no pueda funcionar por causa de fuerza</w:t>
      </w:r>
      <w:r>
        <w:rPr>
          <w:spacing w:val="-26"/>
        </w:rPr>
        <w:t> </w:t>
      </w:r>
      <w:r>
        <w:rPr/>
        <w:t>mayor.</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19-01-2018</w:t>
      </w:r>
    </w:p>
    <w:p>
      <w:pPr>
        <w:pStyle w:val="BodyText"/>
        <w:spacing w:before="1"/>
        <w:rPr>
          <w:rFonts w:ascii="Times New Roman"/>
          <w:i/>
        </w:rPr>
      </w:pPr>
    </w:p>
    <w:p>
      <w:pPr>
        <w:pStyle w:val="BodyText"/>
        <w:ind w:left="118" w:right="115" w:firstLine="288"/>
        <w:jc w:val="both"/>
      </w:pPr>
      <w:bookmarkStart w:name="Artículo_20" w:id="20"/>
      <w:bookmarkEnd w:id="20"/>
      <w:r>
        <w:rPr/>
      </w:r>
      <w:r>
        <w:rPr>
          <w:b/>
        </w:rPr>
        <w:t>Artículo 20. </w:t>
      </w:r>
      <w:r>
        <w:rPr/>
        <w:t>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pPr>
        <w:pStyle w:val="BodyText"/>
        <w:spacing w:before="2"/>
      </w:pPr>
    </w:p>
    <w:p>
      <w:pPr>
        <w:pStyle w:val="BodyText"/>
        <w:ind w:left="118" w:right="117" w:firstLine="288"/>
        <w:jc w:val="both"/>
      </w:pPr>
      <w:r>
        <w:rPr/>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w:t>
      </w:r>
      <w:r>
        <w:rPr>
          <w:spacing w:val="-3"/>
        </w:rPr>
        <w:t> </w:t>
      </w:r>
      <w:r>
        <w:rPr/>
        <w:t>administrativas.</w:t>
      </w:r>
    </w:p>
    <w:p>
      <w:pPr>
        <w:pStyle w:val="BodyText"/>
        <w:spacing w:before="9"/>
        <w:rPr>
          <w:sz w:val="19"/>
        </w:rPr>
      </w:pPr>
    </w:p>
    <w:p>
      <w:pPr>
        <w:pStyle w:val="BodyText"/>
        <w:spacing w:line="242" w:lineRule="auto"/>
        <w:ind w:left="118" w:right="122" w:firstLine="288"/>
        <w:jc w:val="both"/>
      </w:pPr>
      <w:bookmarkStart w:name="Artículo_21" w:id="21"/>
      <w:bookmarkEnd w:id="21"/>
      <w:r>
        <w:rPr/>
      </w:r>
      <w:r>
        <w:rPr>
          <w:b/>
        </w:rPr>
        <w:t>Artículo 21. </w:t>
      </w:r>
      <w:r>
        <w:rPr/>
        <w:t>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pPr>
        <w:pStyle w:val="BodyText"/>
        <w:spacing w:before="7"/>
        <w:rPr>
          <w:sz w:val="19"/>
        </w:rPr>
      </w:pPr>
    </w:p>
    <w:p>
      <w:pPr>
        <w:pStyle w:val="BodyText"/>
        <w:ind w:left="118" w:right="125" w:firstLine="288"/>
        <w:jc w:val="both"/>
      </w:pPr>
      <w:r>
        <w:rPr/>
        <w:t>La presentación de las demandas o las promociones de término en forma electrónica a través de la Firma Electrónica, podrán enviarse hasta las veinticuatro horas del día de su vencimiento.</w:t>
      </w:r>
    </w:p>
    <w:p>
      <w:pPr>
        <w:pStyle w:val="BodyText"/>
        <w:spacing w:before="1"/>
      </w:pPr>
    </w:p>
    <w:p>
      <w:pPr>
        <w:pStyle w:val="BodyText"/>
        <w:spacing w:before="1"/>
        <w:ind w:left="118" w:right="125" w:firstLine="288"/>
        <w:jc w:val="both"/>
      </w:pPr>
      <w:r>
        <w:rPr/>
        <w:t>Con independencia de lo anterior, los órganos jurisdiccionales de amparo podrán habilitar días y horas cuando lo estimen pertinente para el adecuado despacho de los asuntos.</w:t>
      </w:r>
    </w:p>
    <w:p>
      <w:pPr>
        <w:pStyle w:val="BodyText"/>
        <w:spacing w:before="7"/>
        <w:rPr>
          <w:sz w:val="19"/>
        </w:rPr>
      </w:pPr>
    </w:p>
    <w:p>
      <w:pPr>
        <w:pStyle w:val="BodyText"/>
        <w:spacing w:line="242" w:lineRule="auto"/>
        <w:ind w:left="118" w:right="120" w:firstLine="288"/>
        <w:jc w:val="both"/>
      </w:pPr>
      <w:bookmarkStart w:name="Artículo_22" w:id="22"/>
      <w:bookmarkEnd w:id="22"/>
      <w:r>
        <w:rPr/>
      </w:r>
      <w:r>
        <w:rPr>
          <w:b/>
        </w:rPr>
        <w:t>Artículo 22. </w:t>
      </w:r>
      <w:r>
        <w:rPr/>
        <w:t>Los plazos se contarán por días hábiles, comenzarán a correr a partir del día siguiente al en que surta sus efectos la notificación y se incluirá en ellos el del vencimiento, inclusive para las</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realizadas en forma electrónica a través del uso de la Firma Electrónica, salvo en materia penal, en donde se computarán de momento a</w:t>
      </w:r>
      <w:r>
        <w:rPr>
          <w:spacing w:val="-5"/>
        </w:rPr>
        <w:t> </w:t>
      </w:r>
      <w:r>
        <w:rPr/>
        <w:t>momento.</w:t>
      </w:r>
    </w:p>
    <w:p>
      <w:pPr>
        <w:pStyle w:val="BodyText"/>
        <w:spacing w:before="1"/>
      </w:pPr>
    </w:p>
    <w:p>
      <w:pPr>
        <w:pStyle w:val="BodyText"/>
        <w:spacing w:before="1"/>
        <w:ind w:left="118" w:right="126" w:firstLine="288"/>
        <w:jc w:val="both"/>
      </w:pPr>
      <w:r>
        <w:rPr/>
        <w:t>Correrán para cada parte desde el día siguiente a aquél en que para ella hubiese surtido sus efectos la notificación</w:t>
      </w:r>
      <w:r>
        <w:rPr>
          <w:spacing w:val="-3"/>
        </w:rPr>
        <w:t> </w:t>
      </w:r>
      <w:r>
        <w:rPr/>
        <w:t>respectiva.</w:t>
      </w:r>
    </w:p>
    <w:p>
      <w:pPr>
        <w:pStyle w:val="BodyText"/>
        <w:spacing w:before="7"/>
        <w:rPr>
          <w:sz w:val="19"/>
        </w:rPr>
      </w:pPr>
    </w:p>
    <w:p>
      <w:pPr>
        <w:pStyle w:val="BodyText"/>
        <w:spacing w:before="1"/>
        <w:ind w:left="118" w:right="117" w:firstLine="288"/>
        <w:jc w:val="both"/>
      </w:pPr>
      <w:bookmarkStart w:name="Artículo_23" w:id="23"/>
      <w:bookmarkEnd w:id="23"/>
      <w:r>
        <w:rPr/>
      </w:r>
      <w:r>
        <w:rPr>
          <w:b/>
        </w:rPr>
        <w:t>Artículo 23. </w:t>
      </w:r>
      <w:r>
        <w:rPr/>
        <w:t>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w:t>
      </w:r>
      <w:r>
        <w:rPr>
          <w:spacing w:val="-36"/>
        </w:rPr>
        <w:t> </w:t>
      </w:r>
      <w:r>
        <w:rPr/>
        <w:t>Electrónica.</w:t>
      </w:r>
    </w:p>
    <w:p>
      <w:pPr>
        <w:pStyle w:val="BodyText"/>
      </w:pPr>
    </w:p>
    <w:p>
      <w:pPr>
        <w:pStyle w:val="Heading1"/>
      </w:pPr>
      <w:r>
        <w:rPr/>
        <w:t>CAPÍTULO IV</w:t>
      </w:r>
    </w:p>
    <w:p>
      <w:pPr>
        <w:spacing w:before="1"/>
        <w:ind w:left="606" w:right="605" w:firstLine="0"/>
        <w:jc w:val="center"/>
        <w:rPr>
          <w:b/>
          <w:sz w:val="22"/>
        </w:rPr>
      </w:pPr>
      <w:r>
        <w:rPr>
          <w:b/>
          <w:sz w:val="22"/>
        </w:rPr>
        <w:t>Notificaciones</w:t>
      </w:r>
    </w:p>
    <w:p>
      <w:pPr>
        <w:pStyle w:val="BodyText"/>
        <w:rPr>
          <w:b/>
        </w:rPr>
      </w:pPr>
    </w:p>
    <w:p>
      <w:pPr>
        <w:pStyle w:val="BodyText"/>
        <w:ind w:left="118" w:right="120" w:firstLine="288"/>
        <w:jc w:val="both"/>
      </w:pPr>
      <w:bookmarkStart w:name="Artículo_24" w:id="24"/>
      <w:bookmarkEnd w:id="24"/>
      <w:r>
        <w:rPr/>
      </w:r>
      <w:r>
        <w:rPr>
          <w:b/>
        </w:rPr>
        <w:t>Artículo 24. </w:t>
      </w:r>
      <w:r>
        <w:rPr/>
        <w:t>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pPr>
        <w:pStyle w:val="BodyText"/>
        <w:spacing w:before="2"/>
      </w:pPr>
    </w:p>
    <w:p>
      <w:pPr>
        <w:pStyle w:val="BodyText"/>
        <w:ind w:left="118" w:right="119" w:firstLine="288"/>
        <w:jc w:val="both"/>
      </w:pPr>
      <w:r>
        <w:rP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pPr>
        <w:pStyle w:val="BodyText"/>
        <w:spacing w:before="10"/>
        <w:rPr>
          <w:sz w:val="19"/>
        </w:rPr>
      </w:pPr>
    </w:p>
    <w:p>
      <w:pPr>
        <w:pStyle w:val="BodyText"/>
        <w:spacing w:before="1"/>
        <w:ind w:left="118" w:right="121" w:firstLine="288"/>
        <w:jc w:val="both"/>
      </w:pPr>
      <w:r>
        <w:rP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 la misma.</w:t>
      </w:r>
    </w:p>
    <w:p>
      <w:pPr>
        <w:pStyle w:val="BodyText"/>
        <w:spacing w:before="9"/>
        <w:rPr>
          <w:sz w:val="19"/>
        </w:rPr>
      </w:pPr>
    </w:p>
    <w:p>
      <w:pPr>
        <w:pStyle w:val="BodyText"/>
        <w:spacing w:line="242" w:lineRule="auto"/>
        <w:ind w:left="118" w:right="114" w:firstLine="288"/>
        <w:jc w:val="both"/>
      </w:pPr>
      <w:bookmarkStart w:name="Artículo_25" w:id="25"/>
      <w:bookmarkEnd w:id="25"/>
      <w:r>
        <w:rPr/>
      </w:r>
      <w:r>
        <w:rPr>
          <w:b/>
        </w:rPr>
        <w:t>Artículo 25. </w:t>
      </w:r>
      <w:r>
        <w:rPr/>
        <w:t>Las notificaciones al titular del Poder Ejecutivo Federal se entenderán con el titular de la Secretaría de Estado, de la Consejería Jurídica del Ejecutivo Federal o de la Procuraduría General de la República, que deba representarlo en el juicio de amparo, de acuerdo con lo dispuesto en el acuerdo general al que hace referencia el artículo 9o de esta Ley.</w:t>
      </w:r>
    </w:p>
    <w:p>
      <w:pPr>
        <w:pStyle w:val="BodyText"/>
        <w:spacing w:before="4"/>
        <w:rPr>
          <w:sz w:val="19"/>
        </w:rPr>
      </w:pPr>
    </w:p>
    <w:p>
      <w:pPr>
        <w:pStyle w:val="BodyText"/>
        <w:ind w:left="118" w:right="125" w:firstLine="288"/>
        <w:jc w:val="both"/>
      </w:pPr>
      <w:r>
        <w:rPr/>
        <w:t>Las notificaciones a las entidades a que se hace referencia en el párrafo anterior deberán ser hechas por medio de oficio impreso dirigido al domicilio oficial que corresponda o en forma digital a través del uso de la Firma Electrónica.</w:t>
      </w:r>
    </w:p>
    <w:p>
      <w:pPr>
        <w:pStyle w:val="BodyText"/>
        <w:spacing w:before="11"/>
        <w:rPr>
          <w:sz w:val="19"/>
        </w:rPr>
      </w:pPr>
    </w:p>
    <w:p>
      <w:pPr>
        <w:pStyle w:val="BodyText"/>
        <w:ind w:left="406"/>
      </w:pPr>
      <w:bookmarkStart w:name="Artículo_26" w:id="26"/>
      <w:bookmarkEnd w:id="26"/>
      <w:r>
        <w:rPr/>
      </w:r>
      <w:r>
        <w:rPr>
          <w:b/>
        </w:rPr>
        <w:t>Artículo 26. </w:t>
      </w:r>
      <w:r>
        <w:rPr/>
        <w:t>Las notificaciones en los juicios de amparo se harán:</w:t>
      </w:r>
    </w:p>
    <w:p>
      <w:pPr>
        <w:pStyle w:val="BodyText"/>
        <w:spacing w:before="10"/>
        <w:rPr>
          <w:sz w:val="19"/>
        </w:rPr>
      </w:pPr>
    </w:p>
    <w:p>
      <w:pPr>
        <w:pStyle w:val="ListParagraph"/>
        <w:numPr>
          <w:ilvl w:val="1"/>
          <w:numId w:val="3"/>
        </w:numPr>
        <w:tabs>
          <w:tab w:pos="1005" w:val="left" w:leader="none"/>
        </w:tabs>
        <w:spacing w:line="240" w:lineRule="auto" w:before="0" w:after="0"/>
        <w:ind w:left="1004" w:right="0" w:hanging="167"/>
        <w:jc w:val="left"/>
        <w:rPr>
          <w:sz w:val="20"/>
        </w:rPr>
      </w:pPr>
      <w:r>
        <w:rPr>
          <w:sz w:val="20"/>
        </w:rPr>
        <w:t>En forma</w:t>
      </w:r>
      <w:r>
        <w:rPr>
          <w:spacing w:val="-1"/>
          <w:sz w:val="20"/>
        </w:rPr>
        <w:t> </w:t>
      </w:r>
      <w:r>
        <w:rPr>
          <w:sz w:val="20"/>
        </w:rPr>
        <w:t>personal:</w:t>
      </w:r>
    </w:p>
    <w:p>
      <w:pPr>
        <w:pStyle w:val="BodyText"/>
        <w:spacing w:before="1"/>
      </w:pPr>
    </w:p>
    <w:p>
      <w:pPr>
        <w:pStyle w:val="ListParagraph"/>
        <w:numPr>
          <w:ilvl w:val="2"/>
          <w:numId w:val="3"/>
        </w:numPr>
        <w:tabs>
          <w:tab w:pos="1434" w:val="left" w:leader="none"/>
        </w:tabs>
        <w:spacing w:line="242" w:lineRule="auto" w:before="0" w:after="0"/>
        <w:ind w:left="1198" w:right="115" w:firstLine="0"/>
        <w:jc w:val="both"/>
        <w:rPr>
          <w:sz w:val="20"/>
        </w:rPr>
      </w:pPr>
      <w:r>
        <w:rPr>
          <w:sz w:val="20"/>
        </w:rPr>
        <w:t>Al</w:t>
      </w:r>
      <w:r>
        <w:rPr>
          <w:spacing w:val="-9"/>
          <w:sz w:val="20"/>
        </w:rPr>
        <w:t> </w:t>
      </w:r>
      <w:r>
        <w:rPr>
          <w:spacing w:val="-3"/>
          <w:sz w:val="20"/>
        </w:rPr>
        <w:t>quejoso</w:t>
      </w:r>
      <w:r>
        <w:rPr>
          <w:spacing w:val="-8"/>
          <w:sz w:val="20"/>
        </w:rPr>
        <w:t> </w:t>
      </w:r>
      <w:r>
        <w:rPr>
          <w:spacing w:val="-3"/>
          <w:sz w:val="20"/>
        </w:rPr>
        <w:t>privado</w:t>
      </w:r>
      <w:r>
        <w:rPr>
          <w:spacing w:val="-6"/>
          <w:sz w:val="20"/>
        </w:rPr>
        <w:t> </w:t>
      </w:r>
      <w:r>
        <w:rPr>
          <w:sz w:val="20"/>
        </w:rPr>
        <w:t>de</w:t>
      </w:r>
      <w:r>
        <w:rPr>
          <w:spacing w:val="-8"/>
          <w:sz w:val="20"/>
        </w:rPr>
        <w:t> </w:t>
      </w:r>
      <w:r>
        <w:rPr>
          <w:sz w:val="20"/>
        </w:rPr>
        <w:t>su</w:t>
      </w:r>
      <w:r>
        <w:rPr>
          <w:spacing w:val="-5"/>
          <w:sz w:val="20"/>
        </w:rPr>
        <w:t> </w:t>
      </w:r>
      <w:r>
        <w:rPr>
          <w:spacing w:val="-3"/>
          <w:sz w:val="20"/>
        </w:rPr>
        <w:t>libertad,</w:t>
      </w:r>
      <w:r>
        <w:rPr>
          <w:spacing w:val="-8"/>
          <w:sz w:val="20"/>
        </w:rPr>
        <w:t> </w:t>
      </w:r>
      <w:r>
        <w:rPr>
          <w:sz w:val="20"/>
        </w:rPr>
        <w:t>en</w:t>
      </w:r>
      <w:r>
        <w:rPr>
          <w:spacing w:val="-6"/>
          <w:sz w:val="20"/>
        </w:rPr>
        <w:t> </w:t>
      </w:r>
      <w:r>
        <w:rPr>
          <w:sz w:val="20"/>
        </w:rPr>
        <w:t>el</w:t>
      </w:r>
      <w:r>
        <w:rPr>
          <w:spacing w:val="-9"/>
          <w:sz w:val="20"/>
        </w:rPr>
        <w:t> </w:t>
      </w:r>
      <w:r>
        <w:rPr>
          <w:spacing w:val="-3"/>
          <w:sz w:val="20"/>
        </w:rPr>
        <w:t>local</w:t>
      </w:r>
      <w:r>
        <w:rPr>
          <w:spacing w:val="-6"/>
          <w:sz w:val="20"/>
        </w:rPr>
        <w:t> </w:t>
      </w:r>
      <w:r>
        <w:rPr>
          <w:sz w:val="20"/>
        </w:rPr>
        <w:t>del</w:t>
      </w:r>
      <w:r>
        <w:rPr>
          <w:spacing w:val="-6"/>
          <w:sz w:val="20"/>
        </w:rPr>
        <w:t> </w:t>
      </w:r>
      <w:r>
        <w:rPr>
          <w:spacing w:val="-3"/>
          <w:sz w:val="20"/>
        </w:rPr>
        <w:t>órgano</w:t>
      </w:r>
      <w:r>
        <w:rPr>
          <w:spacing w:val="-8"/>
          <w:sz w:val="20"/>
        </w:rPr>
        <w:t> </w:t>
      </w:r>
      <w:r>
        <w:rPr>
          <w:spacing w:val="-3"/>
          <w:sz w:val="20"/>
        </w:rPr>
        <w:t>jurisdiccional</w:t>
      </w:r>
      <w:r>
        <w:rPr>
          <w:spacing w:val="-9"/>
          <w:sz w:val="20"/>
        </w:rPr>
        <w:t> </w:t>
      </w:r>
      <w:r>
        <w:rPr>
          <w:sz w:val="20"/>
        </w:rPr>
        <w:t>que</w:t>
      </w:r>
      <w:r>
        <w:rPr>
          <w:spacing w:val="-7"/>
          <w:sz w:val="20"/>
        </w:rPr>
        <w:t> </w:t>
      </w:r>
      <w:r>
        <w:rPr>
          <w:spacing w:val="-3"/>
          <w:sz w:val="20"/>
        </w:rPr>
        <w:t>conozca</w:t>
      </w:r>
      <w:r>
        <w:rPr>
          <w:spacing w:val="-6"/>
          <w:sz w:val="20"/>
        </w:rPr>
        <w:t> </w:t>
      </w:r>
      <w:r>
        <w:rPr>
          <w:sz w:val="20"/>
        </w:rPr>
        <w:t>del</w:t>
      </w:r>
      <w:r>
        <w:rPr>
          <w:spacing w:val="-9"/>
          <w:sz w:val="20"/>
        </w:rPr>
        <w:t> </w:t>
      </w:r>
      <w:r>
        <w:rPr>
          <w:spacing w:val="-3"/>
          <w:sz w:val="20"/>
        </w:rPr>
        <w:t>juicio,</w:t>
      </w:r>
      <w:r>
        <w:rPr>
          <w:spacing w:val="-8"/>
          <w:sz w:val="20"/>
        </w:rPr>
        <w:t> </w:t>
      </w:r>
      <w:r>
        <w:rPr>
          <w:sz w:val="20"/>
        </w:rPr>
        <w:t>o en el de su reclusión o a su defensor, representante legal o persona designada para oír notificaciones;</w:t>
      </w:r>
    </w:p>
    <w:p>
      <w:pPr>
        <w:pStyle w:val="BodyText"/>
        <w:spacing w:before="4"/>
        <w:rPr>
          <w:sz w:val="19"/>
        </w:rPr>
      </w:pPr>
    </w:p>
    <w:p>
      <w:pPr>
        <w:pStyle w:val="ListParagraph"/>
        <w:numPr>
          <w:ilvl w:val="2"/>
          <w:numId w:val="3"/>
        </w:numPr>
        <w:tabs>
          <w:tab w:pos="1497" w:val="left" w:leader="none"/>
        </w:tabs>
        <w:spacing w:line="242" w:lineRule="auto" w:before="0" w:after="0"/>
        <w:ind w:left="1198" w:right="126" w:firstLine="0"/>
        <w:jc w:val="both"/>
        <w:rPr>
          <w:sz w:val="20"/>
        </w:rPr>
      </w:pPr>
      <w:r>
        <w:rPr>
          <w:sz w:val="20"/>
        </w:rPr>
        <w:t>La primera notificación al tercero interesado y al particular señalado como autoridad responsable;</w:t>
      </w:r>
    </w:p>
    <w:p>
      <w:pPr>
        <w:pStyle w:val="BodyText"/>
        <w:spacing w:before="8"/>
        <w:rPr>
          <w:sz w:val="19"/>
        </w:rPr>
      </w:pPr>
    </w:p>
    <w:p>
      <w:pPr>
        <w:pStyle w:val="ListParagraph"/>
        <w:numPr>
          <w:ilvl w:val="2"/>
          <w:numId w:val="3"/>
        </w:numPr>
        <w:tabs>
          <w:tab w:pos="1432" w:val="left" w:leader="none"/>
        </w:tabs>
        <w:spacing w:line="240" w:lineRule="auto" w:before="0" w:after="0"/>
        <w:ind w:left="1431" w:right="0" w:hanging="234"/>
        <w:jc w:val="both"/>
        <w:rPr>
          <w:sz w:val="20"/>
        </w:rPr>
      </w:pPr>
      <w:r>
        <w:rPr>
          <w:sz w:val="20"/>
        </w:rPr>
        <w:t>Los requerimientos y</w:t>
      </w:r>
      <w:r>
        <w:rPr>
          <w:spacing w:val="-1"/>
          <w:sz w:val="20"/>
        </w:rPr>
        <w:t> </w:t>
      </w:r>
      <w:r>
        <w:rPr>
          <w:sz w:val="20"/>
        </w:rPr>
        <w:t>prevenciones;</w:t>
      </w:r>
    </w:p>
    <w:p>
      <w:pPr>
        <w:pStyle w:val="BodyText"/>
        <w:spacing w:before="10"/>
        <w:rPr>
          <w:sz w:val="19"/>
        </w:rPr>
      </w:pPr>
    </w:p>
    <w:p>
      <w:pPr>
        <w:pStyle w:val="ListParagraph"/>
        <w:numPr>
          <w:ilvl w:val="2"/>
          <w:numId w:val="3"/>
        </w:numPr>
        <w:tabs>
          <w:tab w:pos="1523" w:val="left" w:leader="none"/>
        </w:tabs>
        <w:spacing w:line="242" w:lineRule="auto" w:before="0" w:after="0"/>
        <w:ind w:left="1198" w:right="125" w:firstLine="0"/>
        <w:jc w:val="both"/>
        <w:rPr>
          <w:sz w:val="20"/>
        </w:rPr>
      </w:pPr>
      <w:r>
        <w:rPr>
          <w:sz w:val="20"/>
        </w:rPr>
        <w:t>El acuerdo por el que se le requiera para que exprese si ratifica su escrito de desistimiento;</w:t>
      </w:r>
    </w:p>
    <w:p>
      <w:pPr>
        <w:spacing w:after="0" w:line="242" w:lineRule="auto"/>
        <w:jc w:val="both"/>
        <w:rPr>
          <w:sz w:val="20"/>
        </w:rPr>
        <w:sectPr>
          <w:pgSz w:w="12240" w:h="15840"/>
          <w:pgMar w:header="708" w:footer="712" w:top="1760" w:bottom="900" w:left="1300" w:right="1300"/>
        </w:sectPr>
      </w:pPr>
    </w:p>
    <w:p>
      <w:pPr>
        <w:pStyle w:val="BodyText"/>
      </w:pPr>
    </w:p>
    <w:p>
      <w:pPr>
        <w:pStyle w:val="BodyText"/>
        <w:spacing w:before="6"/>
        <w:rPr>
          <w:sz w:val="27"/>
        </w:rPr>
      </w:pPr>
    </w:p>
    <w:p>
      <w:pPr>
        <w:pStyle w:val="ListParagraph"/>
        <w:numPr>
          <w:ilvl w:val="2"/>
          <w:numId w:val="3"/>
        </w:numPr>
        <w:tabs>
          <w:tab w:pos="1432" w:val="left" w:leader="none"/>
        </w:tabs>
        <w:spacing w:line="240" w:lineRule="auto" w:before="92" w:after="0"/>
        <w:ind w:left="1431" w:right="0" w:hanging="234"/>
        <w:jc w:val="left"/>
        <w:rPr>
          <w:sz w:val="20"/>
        </w:rPr>
      </w:pPr>
      <w:r>
        <w:rPr>
          <w:sz w:val="20"/>
        </w:rPr>
        <w:t>Las sentencias dictadas fuera de la audiencia</w:t>
      </w:r>
      <w:r>
        <w:rPr>
          <w:spacing w:val="-5"/>
          <w:sz w:val="20"/>
        </w:rPr>
        <w:t> </w:t>
      </w:r>
      <w:r>
        <w:rPr>
          <w:sz w:val="20"/>
        </w:rPr>
        <w:t>constitucional;</w:t>
      </w:r>
    </w:p>
    <w:p>
      <w:pPr>
        <w:pStyle w:val="BodyText"/>
        <w:spacing w:before="1"/>
      </w:pPr>
    </w:p>
    <w:p>
      <w:pPr>
        <w:pStyle w:val="ListParagraph"/>
        <w:numPr>
          <w:ilvl w:val="2"/>
          <w:numId w:val="3"/>
        </w:numPr>
        <w:tabs>
          <w:tab w:pos="1389" w:val="left" w:leader="none"/>
        </w:tabs>
        <w:spacing w:line="240" w:lineRule="auto" w:before="0" w:after="0"/>
        <w:ind w:left="1388" w:right="0" w:hanging="191"/>
        <w:jc w:val="left"/>
        <w:rPr>
          <w:sz w:val="20"/>
        </w:rPr>
      </w:pPr>
      <w:r>
        <w:rPr>
          <w:sz w:val="20"/>
        </w:rPr>
        <w:t>El sobreseimiento dictado fuera de la audiencia</w:t>
      </w:r>
      <w:r>
        <w:rPr>
          <w:spacing w:val="-5"/>
          <w:sz w:val="20"/>
        </w:rPr>
        <w:t> </w:t>
      </w:r>
      <w:r>
        <w:rPr>
          <w:sz w:val="20"/>
        </w:rPr>
        <w:t>constitucional;</w:t>
      </w:r>
    </w:p>
    <w:p>
      <w:pPr>
        <w:pStyle w:val="BodyText"/>
        <w:spacing w:before="10"/>
        <w:rPr>
          <w:sz w:val="19"/>
        </w:rPr>
      </w:pPr>
    </w:p>
    <w:p>
      <w:pPr>
        <w:pStyle w:val="ListParagraph"/>
        <w:numPr>
          <w:ilvl w:val="2"/>
          <w:numId w:val="3"/>
        </w:numPr>
        <w:tabs>
          <w:tab w:pos="1466" w:val="left" w:leader="none"/>
        </w:tabs>
        <w:spacing w:line="242" w:lineRule="auto" w:before="0" w:after="0"/>
        <w:ind w:left="1198" w:right="123" w:firstLine="0"/>
        <w:jc w:val="left"/>
        <w:rPr>
          <w:sz w:val="20"/>
        </w:rPr>
      </w:pPr>
      <w:r>
        <w:rPr>
          <w:sz w:val="20"/>
        </w:rPr>
        <w:t>Las resoluciones que decidan sobre la suspensión definitiva cuando sean dictadas fuera de la audiencia</w:t>
      </w:r>
      <w:r>
        <w:rPr>
          <w:spacing w:val="-4"/>
          <w:sz w:val="20"/>
        </w:rPr>
        <w:t> </w:t>
      </w:r>
      <w:r>
        <w:rPr>
          <w:sz w:val="20"/>
        </w:rPr>
        <w:t>incidental;</w:t>
      </w:r>
    </w:p>
    <w:p>
      <w:pPr>
        <w:pStyle w:val="BodyText"/>
        <w:spacing w:before="8"/>
        <w:rPr>
          <w:sz w:val="19"/>
        </w:rPr>
      </w:pPr>
    </w:p>
    <w:p>
      <w:pPr>
        <w:pStyle w:val="ListParagraph"/>
        <w:numPr>
          <w:ilvl w:val="2"/>
          <w:numId w:val="3"/>
        </w:numPr>
        <w:tabs>
          <w:tab w:pos="1444" w:val="left" w:leader="none"/>
        </w:tabs>
        <w:spacing w:line="240" w:lineRule="auto" w:before="0" w:after="0"/>
        <w:ind w:left="1443" w:right="0" w:hanging="246"/>
        <w:jc w:val="left"/>
        <w:rPr>
          <w:sz w:val="20"/>
        </w:rPr>
      </w:pPr>
      <w:r>
        <w:rPr>
          <w:sz w:val="20"/>
        </w:rPr>
        <w:t>La aclaración de sentencias</w:t>
      </w:r>
      <w:r>
        <w:rPr>
          <w:spacing w:val="-2"/>
          <w:sz w:val="20"/>
        </w:rPr>
        <w:t> </w:t>
      </w:r>
      <w:r>
        <w:rPr>
          <w:sz w:val="20"/>
        </w:rPr>
        <w:t>ejecutorias;</w:t>
      </w:r>
    </w:p>
    <w:p>
      <w:pPr>
        <w:pStyle w:val="BodyText"/>
        <w:spacing w:before="10"/>
        <w:rPr>
          <w:sz w:val="19"/>
        </w:rPr>
      </w:pPr>
    </w:p>
    <w:p>
      <w:pPr>
        <w:pStyle w:val="ListParagraph"/>
        <w:numPr>
          <w:ilvl w:val="2"/>
          <w:numId w:val="3"/>
        </w:numPr>
        <w:tabs>
          <w:tab w:pos="1377" w:val="left" w:leader="none"/>
        </w:tabs>
        <w:spacing w:line="240" w:lineRule="auto" w:before="0" w:after="0"/>
        <w:ind w:left="1376" w:right="0" w:hanging="179"/>
        <w:jc w:val="left"/>
        <w:rPr>
          <w:sz w:val="20"/>
        </w:rPr>
      </w:pPr>
      <w:r>
        <w:rPr>
          <w:sz w:val="20"/>
        </w:rPr>
        <w:t>La aclaración de las resoluciones que modifiquen o revoquen la suspensión</w:t>
      </w:r>
      <w:r>
        <w:rPr>
          <w:spacing w:val="-10"/>
          <w:sz w:val="20"/>
        </w:rPr>
        <w:t> </w:t>
      </w:r>
      <w:r>
        <w:rPr>
          <w:sz w:val="20"/>
        </w:rPr>
        <w:t>definitiva;</w:t>
      </w:r>
    </w:p>
    <w:p>
      <w:pPr>
        <w:pStyle w:val="BodyText"/>
        <w:spacing w:before="1"/>
      </w:pPr>
    </w:p>
    <w:p>
      <w:pPr>
        <w:pStyle w:val="ListParagraph"/>
        <w:numPr>
          <w:ilvl w:val="2"/>
          <w:numId w:val="3"/>
        </w:numPr>
        <w:tabs>
          <w:tab w:pos="1377" w:val="left" w:leader="none"/>
        </w:tabs>
        <w:spacing w:line="240" w:lineRule="auto" w:before="0" w:after="0"/>
        <w:ind w:left="1376" w:right="0" w:hanging="179"/>
        <w:jc w:val="left"/>
        <w:rPr>
          <w:sz w:val="20"/>
        </w:rPr>
      </w:pPr>
      <w:r>
        <w:rPr>
          <w:sz w:val="20"/>
        </w:rPr>
        <w:t>Las resoluciones que desechen la demanda o la tengan por no</w:t>
      </w:r>
      <w:r>
        <w:rPr>
          <w:spacing w:val="-6"/>
          <w:sz w:val="20"/>
        </w:rPr>
        <w:t> </w:t>
      </w:r>
      <w:r>
        <w:rPr>
          <w:sz w:val="20"/>
        </w:rPr>
        <w:t>interpuesta;</w:t>
      </w:r>
    </w:p>
    <w:p>
      <w:pPr>
        <w:pStyle w:val="BodyText"/>
        <w:spacing w:before="1"/>
      </w:pPr>
    </w:p>
    <w:p>
      <w:pPr>
        <w:pStyle w:val="ListParagraph"/>
        <w:numPr>
          <w:ilvl w:val="2"/>
          <w:numId w:val="3"/>
        </w:numPr>
        <w:tabs>
          <w:tab w:pos="1432" w:val="left" w:leader="none"/>
        </w:tabs>
        <w:spacing w:line="240" w:lineRule="auto" w:before="1" w:after="0"/>
        <w:ind w:left="1431" w:right="0" w:hanging="234"/>
        <w:jc w:val="left"/>
        <w:rPr>
          <w:sz w:val="20"/>
        </w:rPr>
      </w:pPr>
      <w:r>
        <w:rPr>
          <w:sz w:val="20"/>
        </w:rPr>
        <w:t>Las resoluciones que a juicio del órgano jurisdiccional lo ameriten; y</w:t>
      </w:r>
    </w:p>
    <w:p>
      <w:pPr>
        <w:pStyle w:val="BodyText"/>
        <w:spacing w:before="9"/>
        <w:rPr>
          <w:sz w:val="19"/>
        </w:rPr>
      </w:pPr>
    </w:p>
    <w:p>
      <w:pPr>
        <w:pStyle w:val="ListParagraph"/>
        <w:numPr>
          <w:ilvl w:val="2"/>
          <w:numId w:val="3"/>
        </w:numPr>
        <w:tabs>
          <w:tab w:pos="1377" w:val="left" w:leader="none"/>
        </w:tabs>
        <w:spacing w:line="240" w:lineRule="auto" w:before="1" w:after="0"/>
        <w:ind w:left="1376" w:right="0" w:hanging="179"/>
        <w:jc w:val="left"/>
        <w:rPr>
          <w:sz w:val="20"/>
        </w:rPr>
      </w:pPr>
      <w:r>
        <w:rPr>
          <w:sz w:val="20"/>
        </w:rPr>
        <w:t>Las resoluciones interlocutorias que se dicten en los incidentes de reposición de</w:t>
      </w:r>
      <w:r>
        <w:rPr>
          <w:spacing w:val="-10"/>
          <w:sz w:val="20"/>
        </w:rPr>
        <w:t> </w:t>
      </w:r>
      <w:r>
        <w:rPr>
          <w:sz w:val="20"/>
        </w:rPr>
        <w:t>autos;</w:t>
      </w:r>
    </w:p>
    <w:p>
      <w:pPr>
        <w:pStyle w:val="BodyText"/>
      </w:pPr>
    </w:p>
    <w:p>
      <w:pPr>
        <w:pStyle w:val="ListParagraph"/>
        <w:numPr>
          <w:ilvl w:val="1"/>
          <w:numId w:val="3"/>
        </w:numPr>
        <w:tabs>
          <w:tab w:pos="1060" w:val="left" w:leader="none"/>
        </w:tabs>
        <w:spacing w:line="240" w:lineRule="auto" w:before="0" w:after="0"/>
        <w:ind w:left="1059" w:right="0" w:hanging="222"/>
        <w:jc w:val="left"/>
        <w:rPr>
          <w:sz w:val="20"/>
        </w:rPr>
      </w:pPr>
      <w:r>
        <w:rPr>
          <w:sz w:val="20"/>
        </w:rPr>
        <w:t>Por</w:t>
      </w:r>
      <w:r>
        <w:rPr>
          <w:spacing w:val="-2"/>
          <w:sz w:val="20"/>
        </w:rPr>
        <w:t> </w:t>
      </w:r>
      <w:r>
        <w:rPr>
          <w:sz w:val="20"/>
        </w:rPr>
        <w:t>oficio:</w:t>
      </w:r>
    </w:p>
    <w:p>
      <w:pPr>
        <w:pStyle w:val="BodyText"/>
        <w:spacing w:before="1"/>
      </w:pPr>
    </w:p>
    <w:p>
      <w:pPr>
        <w:pStyle w:val="ListParagraph"/>
        <w:numPr>
          <w:ilvl w:val="2"/>
          <w:numId w:val="3"/>
        </w:numPr>
        <w:tabs>
          <w:tab w:pos="1461" w:val="left" w:leader="none"/>
        </w:tabs>
        <w:spacing w:line="240" w:lineRule="auto" w:before="0" w:after="0"/>
        <w:ind w:left="1198" w:right="126" w:firstLine="0"/>
        <w:jc w:val="both"/>
        <w:rPr>
          <w:sz w:val="20"/>
        </w:rPr>
      </w:pPr>
      <w:r>
        <w:rPr>
          <w:sz w:val="20"/>
        </w:rPr>
        <w:t>A la autoridad responsable, salvo que se trate de la primera notificación a un particular señalado como tal, en cuyo caso se observará lo establecido en el inciso b) de la fracción I del presente</w:t>
      </w:r>
      <w:r>
        <w:rPr>
          <w:spacing w:val="-2"/>
          <w:sz w:val="20"/>
        </w:rPr>
        <w:t> </w:t>
      </w:r>
      <w:r>
        <w:rPr>
          <w:sz w:val="20"/>
        </w:rPr>
        <w:t>artículo;</w:t>
      </w:r>
    </w:p>
    <w:p>
      <w:pPr>
        <w:pStyle w:val="BodyText"/>
        <w:spacing w:before="11"/>
        <w:rPr>
          <w:sz w:val="19"/>
        </w:rPr>
      </w:pPr>
    </w:p>
    <w:p>
      <w:pPr>
        <w:pStyle w:val="ListParagraph"/>
        <w:numPr>
          <w:ilvl w:val="2"/>
          <w:numId w:val="3"/>
        </w:numPr>
        <w:tabs>
          <w:tab w:pos="1444" w:val="left" w:leader="none"/>
        </w:tabs>
        <w:spacing w:line="240" w:lineRule="auto" w:before="0" w:after="0"/>
        <w:ind w:left="1443" w:right="0" w:hanging="246"/>
        <w:jc w:val="both"/>
        <w:rPr>
          <w:sz w:val="20"/>
        </w:rPr>
      </w:pPr>
      <w:r>
        <w:rPr>
          <w:sz w:val="20"/>
        </w:rPr>
        <w:t>A la autoridad que tenga el carácter de tercero interesado;</w:t>
      </w:r>
      <w:r>
        <w:rPr>
          <w:spacing w:val="1"/>
          <w:sz w:val="20"/>
        </w:rPr>
        <w:t> </w:t>
      </w:r>
      <w:r>
        <w:rPr>
          <w:sz w:val="20"/>
        </w:rPr>
        <w:t>y</w:t>
      </w:r>
    </w:p>
    <w:p>
      <w:pPr>
        <w:pStyle w:val="BodyText"/>
        <w:spacing w:before="1"/>
      </w:pPr>
    </w:p>
    <w:p>
      <w:pPr>
        <w:pStyle w:val="ListParagraph"/>
        <w:numPr>
          <w:ilvl w:val="2"/>
          <w:numId w:val="3"/>
        </w:numPr>
        <w:tabs>
          <w:tab w:pos="1432" w:val="left" w:leader="none"/>
        </w:tabs>
        <w:spacing w:line="240" w:lineRule="auto" w:before="0" w:after="0"/>
        <w:ind w:left="1431" w:right="0" w:hanging="234"/>
        <w:jc w:val="both"/>
        <w:rPr>
          <w:sz w:val="20"/>
        </w:rPr>
      </w:pPr>
      <w:r>
        <w:rPr>
          <w:sz w:val="20"/>
        </w:rPr>
        <w:t>Al Ministerio Público de la Federación en el caso de amparo contra normas</w:t>
      </w:r>
      <w:r>
        <w:rPr>
          <w:spacing w:val="-16"/>
          <w:sz w:val="20"/>
        </w:rPr>
        <w:t> </w:t>
      </w:r>
      <w:r>
        <w:rPr>
          <w:sz w:val="20"/>
        </w:rPr>
        <w:t>generales.</w:t>
      </w:r>
    </w:p>
    <w:p>
      <w:pPr>
        <w:pStyle w:val="BodyText"/>
        <w:spacing w:before="10"/>
        <w:rPr>
          <w:sz w:val="19"/>
        </w:rPr>
      </w:pPr>
    </w:p>
    <w:p>
      <w:pPr>
        <w:pStyle w:val="ListParagraph"/>
        <w:numPr>
          <w:ilvl w:val="1"/>
          <w:numId w:val="3"/>
        </w:numPr>
        <w:tabs>
          <w:tab w:pos="1115" w:val="left" w:leader="none"/>
        </w:tabs>
        <w:spacing w:line="240" w:lineRule="auto" w:before="0" w:after="0"/>
        <w:ind w:left="1114" w:right="0" w:hanging="277"/>
        <w:jc w:val="left"/>
        <w:rPr>
          <w:sz w:val="20"/>
        </w:rPr>
      </w:pPr>
      <w:r>
        <w:rPr>
          <w:sz w:val="20"/>
        </w:rPr>
        <w:t>Por lista, en los casos no previstos en las fracciones anteriores;</w:t>
      </w:r>
      <w:r>
        <w:rPr>
          <w:spacing w:val="-6"/>
          <w:sz w:val="20"/>
        </w:rPr>
        <w:t> </w:t>
      </w:r>
      <w:r>
        <w:rPr>
          <w:sz w:val="20"/>
        </w:rPr>
        <w:t>y</w:t>
      </w:r>
    </w:p>
    <w:p>
      <w:pPr>
        <w:pStyle w:val="BodyText"/>
        <w:spacing w:before="1"/>
      </w:pPr>
    </w:p>
    <w:p>
      <w:pPr>
        <w:pStyle w:val="ListParagraph"/>
        <w:numPr>
          <w:ilvl w:val="1"/>
          <w:numId w:val="3"/>
        </w:numPr>
        <w:tabs>
          <w:tab w:pos="1151" w:val="left" w:leader="none"/>
        </w:tabs>
        <w:spacing w:line="242" w:lineRule="auto" w:before="0" w:after="0"/>
        <w:ind w:left="838" w:right="118" w:firstLine="0"/>
        <w:jc w:val="both"/>
        <w:rPr>
          <w:sz w:val="20"/>
        </w:rPr>
      </w:pPr>
      <w:r>
        <w:rPr>
          <w:sz w:val="20"/>
        </w:rPr>
        <w:t>Por vía electrónica, a las partes que expresamente así lo soliciten, y que previamente hayan obtenido la Firma</w:t>
      </w:r>
      <w:r>
        <w:rPr>
          <w:spacing w:val="-4"/>
          <w:sz w:val="20"/>
        </w:rPr>
        <w:t> </w:t>
      </w:r>
      <w:r>
        <w:rPr>
          <w:sz w:val="20"/>
        </w:rPr>
        <w:t>Electrónica.</w:t>
      </w:r>
    </w:p>
    <w:p>
      <w:pPr>
        <w:pStyle w:val="BodyText"/>
        <w:spacing w:before="6"/>
        <w:rPr>
          <w:sz w:val="19"/>
        </w:rPr>
      </w:pPr>
    </w:p>
    <w:p>
      <w:pPr>
        <w:pStyle w:val="BodyText"/>
        <w:ind w:left="406"/>
      </w:pPr>
      <w:bookmarkStart w:name="Artículo_27" w:id="27"/>
      <w:bookmarkEnd w:id="27"/>
      <w:r>
        <w:rPr/>
      </w:r>
      <w:r>
        <w:rPr>
          <w:b/>
        </w:rPr>
        <w:t>Artículo 27. </w:t>
      </w:r>
      <w:r>
        <w:rPr/>
        <w:t>Las notificaciones personales se harán de acuerdo con las siguientes reglas:</w:t>
      </w:r>
    </w:p>
    <w:p>
      <w:pPr>
        <w:pStyle w:val="BodyText"/>
      </w:pPr>
    </w:p>
    <w:p>
      <w:pPr>
        <w:pStyle w:val="ListParagraph"/>
        <w:numPr>
          <w:ilvl w:val="0"/>
          <w:numId w:val="4"/>
        </w:numPr>
        <w:tabs>
          <w:tab w:pos="838" w:val="left" w:leader="none"/>
          <w:tab w:pos="839" w:val="left" w:leader="none"/>
        </w:tabs>
        <w:spacing w:line="242" w:lineRule="auto" w:before="1" w:after="0"/>
        <w:ind w:left="838" w:right="114" w:hanging="432"/>
        <w:jc w:val="left"/>
        <w:rPr>
          <w:sz w:val="20"/>
        </w:rPr>
      </w:pPr>
      <w:r>
        <w:rPr>
          <w:sz w:val="20"/>
        </w:rPr>
        <w:t>Cuando obre en autos el domicilio de la persona, o se encuentre señalado uno para recibir notificaciones ubicado en el lugar en que resida el órgano jurisdiccional que conozca del</w:t>
      </w:r>
      <w:r>
        <w:rPr>
          <w:spacing w:val="-25"/>
          <w:sz w:val="20"/>
        </w:rPr>
        <w:t> </w:t>
      </w:r>
      <w:r>
        <w:rPr>
          <w:sz w:val="20"/>
        </w:rPr>
        <w:t>juicio:</w:t>
      </w:r>
    </w:p>
    <w:p>
      <w:pPr>
        <w:pStyle w:val="BodyText"/>
        <w:spacing w:before="5"/>
        <w:rPr>
          <w:sz w:val="19"/>
        </w:rPr>
      </w:pPr>
    </w:p>
    <w:p>
      <w:pPr>
        <w:pStyle w:val="ListParagraph"/>
        <w:numPr>
          <w:ilvl w:val="1"/>
          <w:numId w:val="4"/>
        </w:numPr>
        <w:tabs>
          <w:tab w:pos="1074" w:val="left" w:leader="none"/>
        </w:tabs>
        <w:spacing w:line="240" w:lineRule="auto" w:before="0" w:after="0"/>
        <w:ind w:left="838" w:right="121" w:firstLine="0"/>
        <w:jc w:val="both"/>
        <w:rPr>
          <w:sz w:val="20"/>
        </w:rPr>
      </w:pPr>
      <w:r>
        <w:rPr>
          <w:sz w:val="20"/>
        </w:rPr>
        <w:t>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w:t>
      </w:r>
      <w:r>
        <w:rPr>
          <w:spacing w:val="-4"/>
          <w:sz w:val="20"/>
        </w:rPr>
        <w:t> </w:t>
      </w:r>
      <w:r>
        <w:rPr>
          <w:sz w:val="20"/>
        </w:rPr>
        <w:t>hecha;</w:t>
      </w:r>
    </w:p>
    <w:p>
      <w:pPr>
        <w:pStyle w:val="BodyText"/>
        <w:spacing w:before="1"/>
      </w:pPr>
    </w:p>
    <w:p>
      <w:pPr>
        <w:pStyle w:val="ListParagraph"/>
        <w:numPr>
          <w:ilvl w:val="1"/>
          <w:numId w:val="4"/>
        </w:numPr>
        <w:tabs>
          <w:tab w:pos="1089" w:val="left" w:leader="none"/>
        </w:tabs>
        <w:spacing w:line="240" w:lineRule="auto" w:before="0" w:after="0"/>
        <w:ind w:left="838" w:right="121" w:firstLine="0"/>
        <w:jc w:val="both"/>
        <w:rPr>
          <w:sz w:val="20"/>
        </w:rPr>
      </w:pPr>
      <w:r>
        <w:rPr>
          <w:sz w:val="20"/>
        </w:rPr>
        <w:t>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w:t>
      </w:r>
      <w:r>
        <w:rPr>
          <w:spacing w:val="-1"/>
          <w:sz w:val="20"/>
        </w:rPr>
        <w:t> </w:t>
      </w:r>
      <w:r>
        <w:rPr>
          <w:sz w:val="20"/>
        </w:rPr>
        <w:t>y</w:t>
      </w:r>
    </w:p>
    <w:p>
      <w:pPr>
        <w:pStyle w:val="BodyText"/>
      </w:pPr>
    </w:p>
    <w:p>
      <w:pPr>
        <w:pStyle w:val="ListParagraph"/>
        <w:numPr>
          <w:ilvl w:val="1"/>
          <w:numId w:val="4"/>
        </w:numPr>
        <w:tabs>
          <w:tab w:pos="1122" w:val="left" w:leader="none"/>
        </w:tabs>
        <w:spacing w:line="242" w:lineRule="auto" w:before="0" w:after="0"/>
        <w:ind w:left="838" w:right="119" w:firstLine="0"/>
        <w:jc w:val="both"/>
        <w:rPr>
          <w:sz w:val="20"/>
        </w:rPr>
      </w:pPr>
      <w:r>
        <w:rPr>
          <w:sz w:val="20"/>
        </w:rPr>
        <w:t>Si el actuario encuentra el domicilio cerrado y ninguna persona acude a su llamado, se cerciorará de que es el domicilio correcto, lo hará constar y fijará aviso en la puerta a fin de que, dentro</w:t>
      </w:r>
      <w:r>
        <w:rPr>
          <w:spacing w:val="23"/>
          <w:sz w:val="20"/>
        </w:rPr>
        <w:t> </w:t>
      </w:r>
      <w:r>
        <w:rPr>
          <w:sz w:val="20"/>
        </w:rPr>
        <w:t>de</w:t>
      </w:r>
      <w:r>
        <w:rPr>
          <w:spacing w:val="24"/>
          <w:sz w:val="20"/>
        </w:rPr>
        <w:t> </w:t>
      </w:r>
      <w:r>
        <w:rPr>
          <w:sz w:val="20"/>
        </w:rPr>
        <w:t>los</w:t>
      </w:r>
      <w:r>
        <w:rPr>
          <w:spacing w:val="22"/>
          <w:sz w:val="20"/>
        </w:rPr>
        <w:t> </w:t>
      </w:r>
      <w:r>
        <w:rPr>
          <w:sz w:val="20"/>
        </w:rPr>
        <w:t>dos</w:t>
      </w:r>
      <w:r>
        <w:rPr>
          <w:spacing w:val="25"/>
          <w:sz w:val="20"/>
        </w:rPr>
        <w:t> </w:t>
      </w:r>
      <w:r>
        <w:rPr>
          <w:sz w:val="20"/>
        </w:rPr>
        <w:t>días</w:t>
      </w:r>
      <w:r>
        <w:rPr>
          <w:spacing w:val="22"/>
          <w:sz w:val="20"/>
        </w:rPr>
        <w:t> </w:t>
      </w:r>
      <w:r>
        <w:rPr>
          <w:sz w:val="20"/>
        </w:rPr>
        <w:t>hábiles</w:t>
      </w:r>
      <w:r>
        <w:rPr>
          <w:spacing w:val="23"/>
          <w:sz w:val="20"/>
        </w:rPr>
        <w:t> </w:t>
      </w:r>
      <w:r>
        <w:rPr>
          <w:sz w:val="20"/>
        </w:rPr>
        <w:t>siguientes,</w:t>
      </w:r>
      <w:r>
        <w:rPr>
          <w:spacing w:val="21"/>
          <w:sz w:val="20"/>
        </w:rPr>
        <w:t> </w:t>
      </w:r>
      <w:r>
        <w:rPr>
          <w:sz w:val="20"/>
        </w:rPr>
        <w:t>acuda</w:t>
      </w:r>
      <w:r>
        <w:rPr>
          <w:spacing w:val="26"/>
          <w:sz w:val="20"/>
        </w:rPr>
        <w:t> </w:t>
      </w:r>
      <w:r>
        <w:rPr>
          <w:sz w:val="20"/>
        </w:rPr>
        <w:t>al</w:t>
      </w:r>
      <w:r>
        <w:rPr>
          <w:spacing w:val="22"/>
          <w:sz w:val="20"/>
        </w:rPr>
        <w:t> </w:t>
      </w:r>
      <w:r>
        <w:rPr>
          <w:sz w:val="20"/>
        </w:rPr>
        <w:t>órgano</w:t>
      </w:r>
      <w:r>
        <w:rPr>
          <w:spacing w:val="22"/>
          <w:sz w:val="20"/>
        </w:rPr>
        <w:t> </w:t>
      </w:r>
      <w:r>
        <w:rPr>
          <w:sz w:val="20"/>
        </w:rPr>
        <w:t>jurisdiccional</w:t>
      </w:r>
      <w:r>
        <w:rPr>
          <w:spacing w:val="20"/>
          <w:sz w:val="20"/>
        </w:rPr>
        <w:t> </w:t>
      </w:r>
      <w:r>
        <w:rPr>
          <w:sz w:val="20"/>
        </w:rPr>
        <w:t>a</w:t>
      </w:r>
      <w:r>
        <w:rPr>
          <w:spacing w:val="22"/>
          <w:sz w:val="20"/>
        </w:rPr>
        <w:t> </w:t>
      </w:r>
      <w:r>
        <w:rPr>
          <w:sz w:val="20"/>
        </w:rPr>
        <w:t>notificarse.</w:t>
      </w:r>
      <w:r>
        <w:rPr>
          <w:spacing w:val="20"/>
          <w:sz w:val="20"/>
        </w:rPr>
        <w:t> </w:t>
      </w:r>
      <w:r>
        <w:rPr>
          <w:sz w:val="20"/>
        </w:rPr>
        <w:t>Si</w:t>
      </w:r>
      <w:r>
        <w:rPr>
          <w:spacing w:val="21"/>
          <w:sz w:val="20"/>
        </w:rPr>
        <w:t> </w:t>
      </w:r>
      <w:r>
        <w:rPr>
          <w:sz w:val="20"/>
        </w:rPr>
        <w:t>no</w:t>
      </w:r>
      <w:r>
        <w:rPr>
          <w:spacing w:val="21"/>
          <w:sz w:val="20"/>
        </w:rPr>
        <w:t> </w:t>
      </w:r>
      <w:r>
        <w:rPr>
          <w:sz w:val="20"/>
        </w:rPr>
        <w:t>se</w:t>
      </w:r>
    </w:p>
    <w:p>
      <w:pPr>
        <w:spacing w:after="0" w:line="242" w:lineRule="auto"/>
        <w:jc w:val="both"/>
        <w:rPr>
          <w:sz w:val="20"/>
        </w:rPr>
        <w:sectPr>
          <w:pgSz w:w="12240" w:h="15840"/>
          <w:pgMar w:header="708" w:footer="712" w:top="1760" w:bottom="900" w:left="1300" w:right="1300"/>
        </w:sectPr>
      </w:pPr>
    </w:p>
    <w:p>
      <w:pPr>
        <w:pStyle w:val="BodyText"/>
        <w:spacing w:before="8"/>
        <w:rPr>
          <w:sz w:val="27"/>
        </w:rPr>
      </w:pPr>
    </w:p>
    <w:p>
      <w:pPr>
        <w:pStyle w:val="BodyText"/>
        <w:spacing w:before="92"/>
        <w:ind w:left="838" w:right="125"/>
        <w:jc w:val="both"/>
      </w:pPr>
      <w:r>
        <w:rPr/>
        <w:t>presenta se notificará por lista y por lista en una página electrónica pudiendo, el referido órgano, tomar las medidas necesarias para lograr la notificación personal si lo estima pertinente.</w:t>
      </w:r>
    </w:p>
    <w:p>
      <w:pPr>
        <w:pStyle w:val="BodyText"/>
        <w:spacing w:before="1"/>
      </w:pPr>
    </w:p>
    <w:p>
      <w:pPr>
        <w:pStyle w:val="BodyText"/>
        <w:spacing w:before="1"/>
        <w:ind w:left="838" w:right="120"/>
        <w:jc w:val="both"/>
      </w:pPr>
      <w:r>
        <w:rPr/>
        <w:t>En todos los casos a que se refieren los incisos anteriores, el actuario asentará razón circunstanciada en el expediente;</w:t>
      </w:r>
    </w:p>
    <w:p>
      <w:pPr>
        <w:pStyle w:val="BodyText"/>
        <w:spacing w:before="7"/>
        <w:rPr>
          <w:sz w:val="19"/>
        </w:rPr>
      </w:pPr>
    </w:p>
    <w:p>
      <w:pPr>
        <w:pStyle w:val="ListParagraph"/>
        <w:numPr>
          <w:ilvl w:val="0"/>
          <w:numId w:val="4"/>
        </w:numPr>
        <w:tabs>
          <w:tab w:pos="839" w:val="left" w:leader="none"/>
        </w:tabs>
        <w:spacing w:line="240" w:lineRule="auto" w:before="1" w:after="0"/>
        <w:ind w:left="838" w:right="119" w:hanging="432"/>
        <w:jc w:val="both"/>
        <w:rPr>
          <w:sz w:val="20"/>
        </w:rPr>
      </w:pPr>
      <w:r>
        <w:rPr>
          <w:sz w:val="20"/>
        </w:rPr>
        <w:t>Cuando el domicilio señalado de la persona a notificar no se encuentre en el mismo lugar en que resida el órgano jurisdiccional, la primera notificación se hará por exhorto o despacho en términos del Código Federal de Procedimientos Civiles, los que podrán ser enviados y recibidos haciendo uso de la Firma Electrónica. En el exhorto o despacho se requerirá que se señale domicilio en el lugar del juicio, con apercibimiento que de no hacerlo, las siguientes notificaciones, aún las personales, se practicarán por lista, sin perjuicio de que pueda hacer la solicitud a que se refiere la fracción IV del artículo 26 de esta</w:t>
      </w:r>
      <w:r>
        <w:rPr>
          <w:spacing w:val="-6"/>
          <w:sz w:val="20"/>
        </w:rPr>
        <w:t> </w:t>
      </w:r>
      <w:r>
        <w:rPr>
          <w:sz w:val="20"/>
        </w:rPr>
        <w:t>Ley.</w:t>
      </w:r>
    </w:p>
    <w:p>
      <w:pPr>
        <w:pStyle w:val="BodyText"/>
        <w:spacing w:before="3"/>
      </w:pPr>
    </w:p>
    <w:p>
      <w:pPr>
        <w:pStyle w:val="BodyText"/>
        <w:spacing w:before="1"/>
        <w:ind w:left="838" w:right="121"/>
        <w:jc w:val="both"/>
      </w:pPr>
      <w:r>
        <w:rPr/>
        <w:t>Cuando el domicilio se encuentre fuera de la circunscripción territorial del órgano jurisdiccional que conoce del juicio, pero en zona conurbada, podrá comisionar al notificador para que la</w:t>
      </w:r>
      <w:r>
        <w:rPr>
          <w:spacing w:val="-30"/>
        </w:rPr>
        <w:t> </w:t>
      </w:r>
      <w:r>
        <w:rPr/>
        <w:t>realice en los términos de la fracción I de este</w:t>
      </w:r>
      <w:r>
        <w:rPr>
          <w:spacing w:val="-5"/>
        </w:rPr>
        <w:t> </w:t>
      </w:r>
      <w:r>
        <w:rPr/>
        <w:t>artículo;</w:t>
      </w:r>
    </w:p>
    <w:p>
      <w:pPr>
        <w:pStyle w:val="BodyText"/>
        <w:spacing w:before="8"/>
        <w:rPr>
          <w:sz w:val="19"/>
        </w:rPr>
      </w:pPr>
    </w:p>
    <w:p>
      <w:pPr>
        <w:pStyle w:val="ListParagraph"/>
        <w:numPr>
          <w:ilvl w:val="0"/>
          <w:numId w:val="4"/>
        </w:numPr>
        <w:tabs>
          <w:tab w:pos="825" w:val="left" w:leader="none"/>
        </w:tabs>
        <w:spacing w:line="240" w:lineRule="auto" w:before="0" w:after="0"/>
        <w:ind w:left="824" w:right="0" w:hanging="419"/>
        <w:jc w:val="left"/>
        <w:rPr>
          <w:sz w:val="20"/>
        </w:rPr>
      </w:pPr>
      <w:r>
        <w:rPr>
          <w:sz w:val="20"/>
        </w:rPr>
        <w:t>Cuando no conste en autos domicilio para oír notificaciones, o el señalado resulte</w:t>
      </w:r>
      <w:r>
        <w:rPr>
          <w:spacing w:val="-10"/>
          <w:sz w:val="20"/>
        </w:rPr>
        <w:t> </w:t>
      </w:r>
      <w:r>
        <w:rPr>
          <w:sz w:val="20"/>
        </w:rPr>
        <w:t>inexacto:</w:t>
      </w:r>
    </w:p>
    <w:p>
      <w:pPr>
        <w:pStyle w:val="BodyText"/>
        <w:spacing w:before="1"/>
      </w:pPr>
    </w:p>
    <w:p>
      <w:pPr>
        <w:pStyle w:val="ListParagraph"/>
        <w:numPr>
          <w:ilvl w:val="1"/>
          <w:numId w:val="4"/>
        </w:numPr>
        <w:tabs>
          <w:tab w:pos="1072" w:val="left" w:leader="none"/>
        </w:tabs>
        <w:spacing w:line="240" w:lineRule="auto" w:before="0" w:after="0"/>
        <w:ind w:left="1071" w:right="0" w:hanging="234"/>
        <w:jc w:val="both"/>
        <w:rPr>
          <w:sz w:val="20"/>
        </w:rPr>
      </w:pPr>
      <w:r>
        <w:rPr>
          <w:sz w:val="20"/>
        </w:rPr>
        <w:t>Las notificaciones personales al quejoso se efectuarán por</w:t>
      </w:r>
      <w:r>
        <w:rPr>
          <w:spacing w:val="-4"/>
          <w:sz w:val="20"/>
        </w:rPr>
        <w:t> </w:t>
      </w:r>
      <w:r>
        <w:rPr>
          <w:sz w:val="20"/>
        </w:rPr>
        <w:t>lista.</w:t>
      </w:r>
    </w:p>
    <w:p>
      <w:pPr>
        <w:pStyle w:val="BodyText"/>
        <w:spacing w:before="10"/>
        <w:rPr>
          <w:sz w:val="19"/>
        </w:rPr>
      </w:pPr>
    </w:p>
    <w:p>
      <w:pPr>
        <w:pStyle w:val="ListParagraph"/>
        <w:numPr>
          <w:ilvl w:val="1"/>
          <w:numId w:val="4"/>
        </w:numPr>
        <w:tabs>
          <w:tab w:pos="1130" w:val="left" w:leader="none"/>
        </w:tabs>
        <w:spacing w:line="240" w:lineRule="auto" w:before="0" w:after="0"/>
        <w:ind w:left="838" w:right="116" w:firstLine="0"/>
        <w:jc w:val="both"/>
        <w:rPr>
          <w:sz w:val="20"/>
        </w:rPr>
      </w:pPr>
      <w:r>
        <w:rPr>
          <w:sz w:val="20"/>
        </w:rPr>
        <w:t>Tratándose de la primera notificación al tercero interesado y al particular señalado como autoridad responsable, el órgano jurisdiccional dictará las medidas que estime pertinentes con el propósito 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de</w:t>
      </w:r>
      <w:r>
        <w:rPr>
          <w:spacing w:val="-6"/>
          <w:sz w:val="20"/>
        </w:rPr>
        <w:t> </w:t>
      </w:r>
      <w:r>
        <w:rPr>
          <w:sz w:val="20"/>
        </w:rPr>
        <w:t>origen.</w:t>
      </w:r>
    </w:p>
    <w:p>
      <w:pPr>
        <w:pStyle w:val="BodyText"/>
        <w:spacing w:before="3"/>
      </w:pPr>
    </w:p>
    <w:p>
      <w:pPr>
        <w:pStyle w:val="BodyText"/>
        <w:ind w:left="838" w:right="123"/>
        <w:jc w:val="both"/>
      </w:pPr>
      <w:r>
        <w:rP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pPr>
        <w:pStyle w:val="BodyText"/>
        <w:spacing w:before="9"/>
        <w:rPr>
          <w:sz w:val="19"/>
        </w:rPr>
      </w:pPr>
    </w:p>
    <w:p>
      <w:pPr>
        <w:pStyle w:val="ListParagraph"/>
        <w:numPr>
          <w:ilvl w:val="1"/>
          <w:numId w:val="4"/>
        </w:numPr>
        <w:tabs>
          <w:tab w:pos="1127" w:val="left" w:leader="none"/>
        </w:tabs>
        <w:spacing w:line="242" w:lineRule="auto" w:before="0" w:after="0"/>
        <w:ind w:left="838" w:right="123" w:firstLine="0"/>
        <w:jc w:val="both"/>
        <w:rPr>
          <w:sz w:val="20"/>
        </w:rPr>
      </w:pPr>
      <w:r>
        <w:rPr>
          <w:sz w:val="20"/>
        </w:rPr>
        <w:t>Cuando se trate de personas de escasos recursos a juicio del órgano jurisdiccional,</w:t>
      </w:r>
      <w:r>
        <w:rPr>
          <w:spacing w:val="30"/>
          <w:sz w:val="20"/>
        </w:rPr>
        <w:t> </w:t>
      </w:r>
      <w:r>
        <w:rPr>
          <w:sz w:val="20"/>
        </w:rPr>
        <w:t>se ordenará la publicación correspondiente en el Diario Oficial de la Federación sin costo para el quejoso.</w:t>
      </w:r>
    </w:p>
    <w:p>
      <w:pPr>
        <w:pStyle w:val="BodyText"/>
        <w:spacing w:before="6"/>
        <w:rPr>
          <w:sz w:val="19"/>
        </w:rPr>
      </w:pPr>
    </w:p>
    <w:p>
      <w:pPr>
        <w:pStyle w:val="BodyText"/>
        <w:ind w:left="118" w:right="116" w:firstLine="288"/>
        <w:jc w:val="both"/>
      </w:pPr>
      <w:r>
        <w:rPr/>
        <w:t>Cuando deba notificarse al interesado la providencia que mande ratificar el escrito de desistimiento de la demanda o de cualquier recurso, si no consta en autos el domicilio para oír notificaciones, ni se expresan estos datos en el escrito, continuará el juicio.</w:t>
      </w:r>
    </w:p>
    <w:p>
      <w:pPr>
        <w:pStyle w:val="BodyText"/>
        <w:spacing w:before="11"/>
        <w:rPr>
          <w:sz w:val="19"/>
        </w:rPr>
      </w:pPr>
    </w:p>
    <w:p>
      <w:pPr>
        <w:pStyle w:val="BodyText"/>
        <w:ind w:left="406"/>
      </w:pPr>
      <w:bookmarkStart w:name="Artículo_28" w:id="28"/>
      <w:bookmarkEnd w:id="28"/>
      <w:r>
        <w:rPr/>
      </w:r>
      <w:r>
        <w:rPr>
          <w:b/>
        </w:rPr>
        <w:t>Artículo 28. </w:t>
      </w:r>
      <w:r>
        <w:rPr/>
        <w:t>Las notificaciones por oficio se harán conforme a las reglas siguientes:</w:t>
      </w:r>
    </w:p>
    <w:p>
      <w:pPr>
        <w:pStyle w:val="BodyText"/>
        <w:spacing w:before="10"/>
        <w:rPr>
          <w:sz w:val="19"/>
        </w:rPr>
      </w:pPr>
    </w:p>
    <w:p>
      <w:pPr>
        <w:pStyle w:val="ListParagraph"/>
        <w:numPr>
          <w:ilvl w:val="0"/>
          <w:numId w:val="5"/>
        </w:numPr>
        <w:tabs>
          <w:tab w:pos="1041" w:val="left" w:leader="none"/>
        </w:tabs>
        <w:spacing w:line="242" w:lineRule="auto" w:before="0" w:after="0"/>
        <w:ind w:left="838" w:right="125" w:firstLine="0"/>
        <w:jc w:val="both"/>
        <w:rPr>
          <w:sz w:val="20"/>
        </w:rPr>
      </w:pPr>
      <w:r>
        <w:rPr>
          <w:sz w:val="20"/>
        </w:rPr>
        <w:t>Si el domicilio de la oficina principal de la autoridad se encuentra en el lugar del juicio, un empleado hará la entrega, recabando la constancia de recibo</w:t>
      </w:r>
      <w:r>
        <w:rPr>
          <w:spacing w:val="-2"/>
          <w:sz w:val="20"/>
        </w:rPr>
        <w:t> </w:t>
      </w:r>
      <w:r>
        <w:rPr>
          <w:sz w:val="20"/>
        </w:rPr>
        <w:t>correspondiente.</w:t>
      </w:r>
    </w:p>
    <w:p>
      <w:pPr>
        <w:pStyle w:val="BodyText"/>
        <w:spacing w:before="11"/>
        <w:rPr>
          <w:sz w:val="19"/>
        </w:rPr>
      </w:pPr>
    </w:p>
    <w:p>
      <w:pPr>
        <w:pStyle w:val="BodyText"/>
        <w:ind w:left="838" w:right="120"/>
        <w:jc w:val="both"/>
      </w:pPr>
      <w:r>
        <w:rPr/>
        <w:t>Si la autoridad se niega a recibir el oficio, el actuario hará </w:t>
      </w:r>
      <w:r>
        <w:rPr>
          <w:spacing w:val="2"/>
        </w:rPr>
        <w:t>del </w:t>
      </w:r>
      <w:r>
        <w:rPr/>
        <w:t>conocimiento del encargado de la oficina correspondiente que no obstante esta circunstancia, se tendrá por hecha la notificación. Si a pesar de esto subsiste la negativa, asentará la razón en autos y se tendrá por</w:t>
      </w:r>
      <w:r>
        <w:rPr>
          <w:spacing w:val="-12"/>
        </w:rPr>
        <w:t> </w:t>
      </w:r>
      <w:r>
        <w:rPr/>
        <w:t>hecha;</w:t>
      </w:r>
    </w:p>
    <w:p>
      <w:pPr>
        <w:pStyle w:val="BodyText"/>
        <w:spacing w:before="8"/>
        <w:rPr>
          <w:sz w:val="19"/>
        </w:rPr>
      </w:pPr>
    </w:p>
    <w:p>
      <w:pPr>
        <w:pStyle w:val="ListParagraph"/>
        <w:numPr>
          <w:ilvl w:val="0"/>
          <w:numId w:val="5"/>
        </w:numPr>
        <w:tabs>
          <w:tab w:pos="1082" w:val="left" w:leader="none"/>
        </w:tabs>
        <w:spacing w:line="242" w:lineRule="auto" w:before="0" w:after="0"/>
        <w:ind w:left="838" w:right="122" w:firstLine="0"/>
        <w:jc w:val="both"/>
        <w:rPr>
          <w:sz w:val="20"/>
        </w:rPr>
      </w:pPr>
      <w:r>
        <w:rPr>
          <w:sz w:val="20"/>
        </w:rPr>
        <w:t>Si el domicilio de la autoridad se encuentra fuera del lugar del juicio, se enviará el oficio por correo en pieza certificada con acuse de recibo, el que se agregará en</w:t>
      </w:r>
      <w:r>
        <w:rPr>
          <w:spacing w:val="-7"/>
          <w:sz w:val="20"/>
        </w:rPr>
        <w:t> </w:t>
      </w:r>
      <w:r>
        <w:rPr>
          <w:sz w:val="20"/>
        </w:rPr>
        <w:t>autos.</w:t>
      </w:r>
    </w:p>
    <w:p>
      <w:pPr>
        <w:spacing w:after="0" w:line="242" w:lineRule="auto"/>
        <w:jc w:val="both"/>
        <w:rPr>
          <w:sz w:val="20"/>
        </w:rPr>
        <w:sectPr>
          <w:pgSz w:w="12240" w:h="15840"/>
          <w:pgMar w:header="708" w:footer="712" w:top="1760" w:bottom="900" w:left="1300" w:right="1300"/>
        </w:sectPr>
      </w:pPr>
    </w:p>
    <w:p>
      <w:pPr>
        <w:pStyle w:val="BodyText"/>
      </w:pPr>
    </w:p>
    <w:p>
      <w:pPr>
        <w:pStyle w:val="BodyText"/>
        <w:spacing w:before="8"/>
        <w:rPr>
          <w:sz w:val="27"/>
        </w:rPr>
      </w:pPr>
    </w:p>
    <w:p>
      <w:pPr>
        <w:pStyle w:val="BodyText"/>
        <w:spacing w:before="93"/>
        <w:ind w:left="838" w:right="127"/>
        <w:jc w:val="both"/>
      </w:pPr>
      <w:r>
        <w:rPr/>
        <w:t>En casos urgentes, cuando el domicilio se encuentre fuera de la circunscripción territorial del órgano jurisdiccional que conozca del juicio, pero en zona conurbada, podrá ordenarse que la notificación se haga por medio del actuario; y</w:t>
      </w:r>
    </w:p>
    <w:p>
      <w:pPr>
        <w:pStyle w:val="BodyText"/>
        <w:spacing w:before="8"/>
        <w:rPr>
          <w:sz w:val="19"/>
        </w:rPr>
      </w:pPr>
    </w:p>
    <w:p>
      <w:pPr>
        <w:pStyle w:val="ListParagraph"/>
        <w:numPr>
          <w:ilvl w:val="0"/>
          <w:numId w:val="5"/>
        </w:numPr>
        <w:tabs>
          <w:tab w:pos="1118" w:val="left" w:leader="none"/>
        </w:tabs>
        <w:spacing w:line="240" w:lineRule="auto" w:before="0" w:after="0"/>
        <w:ind w:left="838" w:right="115" w:firstLine="0"/>
        <w:jc w:val="both"/>
        <w:rPr>
          <w:sz w:val="20"/>
        </w:rPr>
      </w:pPr>
      <w:r>
        <w:rPr>
          <w:sz w:val="20"/>
        </w:rPr>
        <w:t>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w:t>
      </w:r>
      <w:r>
        <w:rPr>
          <w:spacing w:val="3"/>
          <w:sz w:val="20"/>
        </w:rPr>
        <w:t>las </w:t>
      </w:r>
      <w:r>
        <w:rPr>
          <w:sz w:val="20"/>
        </w:rPr>
        <w:t>fracciones I y II de este</w:t>
      </w:r>
      <w:r>
        <w:rPr>
          <w:spacing w:val="-2"/>
          <w:sz w:val="20"/>
        </w:rPr>
        <w:t> </w:t>
      </w:r>
      <w:r>
        <w:rPr>
          <w:sz w:val="20"/>
        </w:rPr>
        <w:t>artículo.</w:t>
      </w:r>
    </w:p>
    <w:p>
      <w:pPr>
        <w:pStyle w:val="BodyText"/>
        <w:spacing w:before="3"/>
      </w:pPr>
    </w:p>
    <w:p>
      <w:pPr>
        <w:pStyle w:val="BodyText"/>
        <w:ind w:left="118" w:right="127" w:firstLine="288"/>
        <w:jc w:val="both"/>
      </w:pPr>
      <w:r>
        <w:rPr/>
        <w:t>Las oficinas públicas de comunicaciones están obligadas a transmitir, sin costo alguno, los oficios a que se refieren las anteriores fracciones.</w:t>
      </w:r>
    </w:p>
    <w:p>
      <w:pPr>
        <w:pStyle w:val="BodyText"/>
        <w:spacing w:before="11"/>
        <w:rPr>
          <w:sz w:val="19"/>
        </w:rPr>
      </w:pPr>
    </w:p>
    <w:p>
      <w:pPr>
        <w:pStyle w:val="BodyText"/>
        <w:ind w:left="118" w:right="116" w:firstLine="288"/>
        <w:jc w:val="both"/>
      </w:pPr>
      <w:bookmarkStart w:name="Artículo_29" w:id="29"/>
      <w:bookmarkEnd w:id="29"/>
      <w:r>
        <w:rPr/>
      </w:r>
      <w:r>
        <w:rPr>
          <w:b/>
        </w:rPr>
        <w:t>Artículo 29. </w:t>
      </w:r>
      <w:r>
        <w:rPr/>
        <w:t>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 la fecha de la resolución que la ordena y</w:t>
      </w:r>
      <w:r>
        <w:rPr>
          <w:spacing w:val="-9"/>
        </w:rPr>
        <w:t> </w:t>
      </w:r>
      <w:r>
        <w:rPr/>
        <w:t>contendrá:</w:t>
      </w:r>
    </w:p>
    <w:p>
      <w:pPr>
        <w:pStyle w:val="BodyText"/>
        <w:spacing w:before="11"/>
        <w:rPr>
          <w:sz w:val="19"/>
        </w:rPr>
      </w:pPr>
    </w:p>
    <w:p>
      <w:pPr>
        <w:pStyle w:val="ListParagraph"/>
        <w:numPr>
          <w:ilvl w:val="0"/>
          <w:numId w:val="6"/>
        </w:numPr>
        <w:tabs>
          <w:tab w:pos="1198" w:val="left" w:leader="none"/>
          <w:tab w:pos="1199" w:val="left" w:leader="none"/>
        </w:tabs>
        <w:spacing w:line="240" w:lineRule="auto" w:before="0" w:after="0"/>
        <w:ind w:left="1198" w:right="0" w:hanging="361"/>
        <w:jc w:val="left"/>
        <w:rPr>
          <w:sz w:val="20"/>
        </w:rPr>
      </w:pPr>
      <w:r>
        <w:rPr>
          <w:sz w:val="20"/>
        </w:rPr>
        <w:t>El número del juicio o del incidente de suspensión de que se</w:t>
      </w:r>
      <w:r>
        <w:rPr>
          <w:spacing w:val="-9"/>
          <w:sz w:val="20"/>
        </w:rPr>
        <w:t> </w:t>
      </w:r>
      <w:r>
        <w:rPr>
          <w:sz w:val="20"/>
        </w:rPr>
        <w:t>trate;</w:t>
      </w:r>
    </w:p>
    <w:p>
      <w:pPr>
        <w:pStyle w:val="BodyText"/>
        <w:spacing w:before="10"/>
        <w:rPr>
          <w:sz w:val="19"/>
        </w:rPr>
      </w:pPr>
    </w:p>
    <w:p>
      <w:pPr>
        <w:pStyle w:val="ListParagraph"/>
        <w:numPr>
          <w:ilvl w:val="0"/>
          <w:numId w:val="6"/>
        </w:numPr>
        <w:tabs>
          <w:tab w:pos="1199" w:val="left" w:leader="none"/>
        </w:tabs>
        <w:spacing w:line="240" w:lineRule="auto" w:before="0" w:after="0"/>
        <w:ind w:left="1198" w:right="0" w:hanging="361"/>
        <w:jc w:val="left"/>
        <w:rPr>
          <w:sz w:val="20"/>
        </w:rPr>
      </w:pPr>
      <w:r>
        <w:rPr>
          <w:sz w:val="20"/>
        </w:rPr>
        <w:t>El nombre del</w:t>
      </w:r>
      <w:r>
        <w:rPr>
          <w:spacing w:val="-2"/>
          <w:sz w:val="20"/>
        </w:rPr>
        <w:t> </w:t>
      </w:r>
      <w:r>
        <w:rPr>
          <w:sz w:val="20"/>
        </w:rPr>
        <w:t>quejoso;</w:t>
      </w:r>
    </w:p>
    <w:p>
      <w:pPr>
        <w:pStyle w:val="BodyText"/>
      </w:pPr>
    </w:p>
    <w:p>
      <w:pPr>
        <w:pStyle w:val="ListParagraph"/>
        <w:numPr>
          <w:ilvl w:val="0"/>
          <w:numId w:val="6"/>
        </w:numPr>
        <w:tabs>
          <w:tab w:pos="1199" w:val="left" w:leader="none"/>
        </w:tabs>
        <w:spacing w:line="240" w:lineRule="auto" w:before="1" w:after="0"/>
        <w:ind w:left="1198" w:right="0" w:hanging="361"/>
        <w:jc w:val="left"/>
        <w:rPr>
          <w:sz w:val="20"/>
        </w:rPr>
      </w:pPr>
      <w:r>
        <w:rPr>
          <w:sz w:val="20"/>
        </w:rPr>
        <w:t>La autoridad responsable; y</w:t>
      </w:r>
    </w:p>
    <w:p>
      <w:pPr>
        <w:pStyle w:val="BodyText"/>
      </w:pPr>
    </w:p>
    <w:p>
      <w:pPr>
        <w:pStyle w:val="ListParagraph"/>
        <w:numPr>
          <w:ilvl w:val="0"/>
          <w:numId w:val="6"/>
        </w:numPr>
        <w:tabs>
          <w:tab w:pos="1199" w:val="left" w:leader="none"/>
        </w:tabs>
        <w:spacing w:line="240" w:lineRule="auto" w:before="1" w:after="0"/>
        <w:ind w:left="1198" w:right="0" w:hanging="361"/>
        <w:jc w:val="left"/>
        <w:rPr>
          <w:sz w:val="20"/>
        </w:rPr>
      </w:pPr>
      <w:r>
        <w:rPr>
          <w:sz w:val="20"/>
        </w:rPr>
        <w:t>La síntesis de la resolución que se</w:t>
      </w:r>
      <w:r>
        <w:rPr>
          <w:spacing w:val="-2"/>
          <w:sz w:val="20"/>
        </w:rPr>
        <w:t> </w:t>
      </w:r>
      <w:r>
        <w:rPr>
          <w:sz w:val="20"/>
        </w:rPr>
        <w:t>notifica.</w:t>
      </w:r>
    </w:p>
    <w:p>
      <w:pPr>
        <w:pStyle w:val="BodyText"/>
      </w:pPr>
    </w:p>
    <w:p>
      <w:pPr>
        <w:pStyle w:val="BodyText"/>
        <w:ind w:left="406"/>
      </w:pPr>
      <w:r>
        <w:rPr/>
        <w:t>El actuario asentará en el expediente la razón respectiva.</w:t>
      </w:r>
    </w:p>
    <w:p>
      <w:pPr>
        <w:pStyle w:val="BodyText"/>
        <w:spacing w:before="10"/>
        <w:rPr>
          <w:sz w:val="19"/>
        </w:rPr>
      </w:pPr>
    </w:p>
    <w:p>
      <w:pPr>
        <w:pStyle w:val="BodyText"/>
        <w:spacing w:before="1"/>
        <w:ind w:left="406"/>
      </w:pPr>
      <w:bookmarkStart w:name="Artículo_30" w:id="30"/>
      <w:bookmarkEnd w:id="30"/>
      <w:r>
        <w:rPr/>
      </w:r>
      <w:r>
        <w:rPr>
          <w:b/>
        </w:rPr>
        <w:t>Artículo 30. </w:t>
      </w:r>
      <w:r>
        <w:rPr/>
        <w:t>Las notificaciones por vía electrónica se sujetarán a las reglas siguientes:</w:t>
      </w:r>
    </w:p>
    <w:p>
      <w:pPr>
        <w:pStyle w:val="BodyText"/>
      </w:pPr>
    </w:p>
    <w:p>
      <w:pPr>
        <w:pStyle w:val="ListParagraph"/>
        <w:numPr>
          <w:ilvl w:val="0"/>
          <w:numId w:val="7"/>
        </w:numPr>
        <w:tabs>
          <w:tab w:pos="1058" w:val="left" w:leader="none"/>
        </w:tabs>
        <w:spacing w:line="240" w:lineRule="auto" w:before="1" w:after="0"/>
        <w:ind w:left="838" w:right="116" w:firstLine="0"/>
        <w:jc w:val="both"/>
        <w:rPr>
          <w:sz w:val="20"/>
        </w:rPr>
      </w:pPr>
      <w:r>
        <w:rPr>
          <w:sz w:val="20"/>
        </w:rPr>
        <w:t>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w:t>
      </w:r>
      <w:r>
        <w:rPr>
          <w:spacing w:val="-4"/>
          <w:sz w:val="20"/>
        </w:rPr>
        <w:t> </w:t>
      </w:r>
      <w:r>
        <w:rPr>
          <w:sz w:val="20"/>
        </w:rPr>
        <w:t>Electrónica.</w:t>
      </w:r>
    </w:p>
    <w:p>
      <w:pPr>
        <w:pStyle w:val="BodyText"/>
        <w:spacing w:before="2"/>
      </w:pPr>
    </w:p>
    <w:p>
      <w:pPr>
        <w:pStyle w:val="BodyText"/>
        <w:ind w:left="838" w:right="127"/>
        <w:jc w:val="both"/>
      </w:pPr>
      <w:r>
        <w:rP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pPr>
        <w:pStyle w:val="BodyText"/>
        <w:spacing w:before="11"/>
        <w:rPr>
          <w:sz w:val="19"/>
        </w:rPr>
      </w:pPr>
    </w:p>
    <w:p>
      <w:pPr>
        <w:pStyle w:val="BodyText"/>
        <w:ind w:left="838"/>
        <w:jc w:val="both"/>
      </w:pPr>
      <w:r>
        <w:rPr/>
        <w:t>En todos los casos la notificación o constancia respectiva se agregará a los autos.</w:t>
      </w:r>
    </w:p>
    <w:p>
      <w:pPr>
        <w:pStyle w:val="BodyText"/>
        <w:spacing w:before="1"/>
      </w:pPr>
    </w:p>
    <w:p>
      <w:pPr>
        <w:pStyle w:val="BodyText"/>
        <w:ind w:left="838" w:right="117"/>
        <w:jc w:val="both"/>
      </w:pPr>
      <w:r>
        <w:rPr/>
        <w:t>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w:t>
      </w:r>
      <w:r>
        <w:rPr>
          <w:spacing w:val="3"/>
        </w:rPr>
        <w:t>las </w:t>
      </w:r>
      <w:r>
        <w:rPr/>
        <w:t>determinaciones dictadas en el incidente de suspensión en cuyo caso el plazo será de veinticuatro</w:t>
      </w:r>
      <w:r>
        <w:rPr>
          <w:spacing w:val="-11"/>
        </w:rPr>
        <w:t> </w:t>
      </w:r>
      <w:r>
        <w:rPr/>
        <w:t>horas.</w:t>
      </w:r>
    </w:p>
    <w:p>
      <w:pPr>
        <w:pStyle w:val="BodyText"/>
      </w:pPr>
    </w:p>
    <w:p>
      <w:pPr>
        <w:pStyle w:val="BodyText"/>
        <w:ind w:left="838" w:right="119"/>
        <w:jc w:val="both"/>
      </w:pPr>
      <w:r>
        <w:rPr/>
        <w:t>De no generarse la constancia de consulta antes mencionada, el órgano jurisdiccional que corresponda tendrá por hecha la notificación y se dará por no cumplida por la autoridad responsable la resolución que contenga. Cuando el órgano jurisdiccional lo estime conveniente</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838" w:right="127"/>
        <w:jc w:val="both"/>
      </w:pPr>
      <w:r>
        <w:rPr/>
        <w:t>por la naturaleza del acto podrá ordenar que las notificaciones se hagan por conducto del actuario, quien además, asentará en el expediente cualquiera de las situaciones anteriores.</w:t>
      </w:r>
    </w:p>
    <w:p>
      <w:pPr>
        <w:pStyle w:val="BodyText"/>
        <w:spacing w:before="1"/>
      </w:pPr>
    </w:p>
    <w:p>
      <w:pPr>
        <w:pStyle w:val="BodyText"/>
        <w:spacing w:before="1"/>
        <w:ind w:left="838" w:right="119"/>
        <w:jc w:val="both"/>
      </w:pPr>
      <w:r>
        <w:rP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pPr>
        <w:pStyle w:val="BodyText"/>
        <w:spacing w:before="11"/>
        <w:rPr>
          <w:sz w:val="19"/>
        </w:rPr>
      </w:pPr>
    </w:p>
    <w:p>
      <w:pPr>
        <w:pStyle w:val="BodyText"/>
        <w:ind w:left="838" w:right="119"/>
        <w:jc w:val="both"/>
      </w:pPr>
      <w:r>
        <w:rPr/>
        <w:t>El auto que resuelva sobre la ampliación podrá ser recurrido a través del recurso de queja en los plazos y términos establecidos para las resoluciones a las que se refiere el artículo 97, fracción I, inciso b) de esta Ley;</w:t>
      </w:r>
    </w:p>
    <w:p>
      <w:pPr>
        <w:pStyle w:val="BodyText"/>
        <w:spacing w:before="8"/>
        <w:rPr>
          <w:sz w:val="19"/>
        </w:rPr>
      </w:pPr>
    </w:p>
    <w:p>
      <w:pPr>
        <w:pStyle w:val="ListParagraph"/>
        <w:numPr>
          <w:ilvl w:val="0"/>
          <w:numId w:val="7"/>
        </w:numPr>
        <w:tabs>
          <w:tab w:pos="1098" w:val="left" w:leader="none"/>
        </w:tabs>
        <w:spacing w:line="240" w:lineRule="auto" w:before="0" w:after="0"/>
        <w:ind w:left="838" w:right="116" w:firstLine="0"/>
        <w:jc w:val="both"/>
        <w:rPr>
          <w:sz w:val="20"/>
        </w:rPr>
      </w:pPr>
      <w:r>
        <w:rPr>
          <w:sz w:val="20"/>
        </w:rPr>
        <w:t>Los quejosos o terceros interesados que cuenten con Firma Electrónica están obligados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BodyText"/>
        <w:spacing w:before="4"/>
      </w:pPr>
    </w:p>
    <w:p>
      <w:pPr>
        <w:pStyle w:val="BodyText"/>
        <w:ind w:left="838" w:right="121"/>
        <w:jc w:val="both"/>
      </w:pPr>
      <w:r>
        <w:rP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pPr>
        <w:pStyle w:val="BodyText"/>
        <w:spacing w:before="9"/>
        <w:rPr>
          <w:sz w:val="19"/>
        </w:rPr>
      </w:pPr>
    </w:p>
    <w:p>
      <w:pPr>
        <w:pStyle w:val="ListParagraph"/>
        <w:numPr>
          <w:ilvl w:val="0"/>
          <w:numId w:val="7"/>
        </w:numPr>
        <w:tabs>
          <w:tab w:pos="1175" w:val="left" w:leader="none"/>
        </w:tabs>
        <w:spacing w:line="240" w:lineRule="auto" w:before="0" w:after="0"/>
        <w:ind w:left="838" w:right="118" w:firstLine="0"/>
        <w:jc w:val="both"/>
        <w:rPr>
          <w:sz w:val="20"/>
        </w:rPr>
      </w:pPr>
      <w:r>
        <w:rPr>
          <w:sz w:val="20"/>
        </w:rPr>
        <w:t>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w:t>
      </w:r>
      <w:r>
        <w:rPr>
          <w:spacing w:val="-1"/>
          <w:sz w:val="20"/>
        </w:rPr>
        <w:t> </w:t>
      </w:r>
      <w:r>
        <w:rPr>
          <w:sz w:val="20"/>
        </w:rPr>
        <w:t>correspondientes.</w:t>
      </w:r>
    </w:p>
    <w:p>
      <w:pPr>
        <w:pStyle w:val="BodyText"/>
        <w:spacing w:before="1"/>
      </w:pPr>
    </w:p>
    <w:p>
      <w:pPr>
        <w:pStyle w:val="BodyText"/>
        <w:ind w:left="838" w:right="120"/>
        <w:jc w:val="both"/>
      </w:pPr>
      <w:r>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pPr>
        <w:pStyle w:val="BodyText"/>
        <w:spacing w:before="2"/>
      </w:pPr>
    </w:p>
    <w:p>
      <w:pPr>
        <w:pStyle w:val="BodyText"/>
        <w:ind w:left="838" w:right="122"/>
        <w:jc w:val="both"/>
      </w:pPr>
      <w:r>
        <w:rP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pPr>
        <w:pStyle w:val="BodyText"/>
        <w:spacing w:before="8"/>
        <w:rPr>
          <w:sz w:val="19"/>
        </w:rPr>
      </w:pPr>
    </w:p>
    <w:p>
      <w:pPr>
        <w:pStyle w:val="BodyText"/>
        <w:ind w:left="406"/>
      </w:pPr>
      <w:bookmarkStart w:name="Artículo_31" w:id="31"/>
      <w:bookmarkEnd w:id="31"/>
      <w:r>
        <w:rPr/>
      </w:r>
      <w:r>
        <w:rPr>
          <w:b/>
        </w:rPr>
        <w:t>Artículo 31. </w:t>
      </w:r>
      <w:r>
        <w:rPr/>
        <w:t>Las notificaciones surtirán sus efectos conforme a las siguientes reglas:</w:t>
      </w:r>
    </w:p>
    <w:p>
      <w:pPr>
        <w:pStyle w:val="BodyText"/>
        <w:spacing w:before="2"/>
      </w:pPr>
    </w:p>
    <w:p>
      <w:pPr>
        <w:pStyle w:val="ListParagraph"/>
        <w:numPr>
          <w:ilvl w:val="0"/>
          <w:numId w:val="8"/>
        </w:numPr>
        <w:tabs>
          <w:tab w:pos="1055" w:val="left" w:leader="none"/>
        </w:tabs>
        <w:spacing w:line="240" w:lineRule="auto" w:before="0" w:after="0"/>
        <w:ind w:left="838" w:right="127" w:firstLine="0"/>
        <w:jc w:val="both"/>
        <w:rPr>
          <w:sz w:val="20"/>
        </w:rPr>
      </w:pPr>
      <w:r>
        <w:rPr>
          <w:sz w:val="20"/>
        </w:rPr>
        <w:t>Las que correspondan a las autoridades responsables y a las autoridades que tengan el carácter de terceros interesados, desde el momento en que hayan quedado legalmente</w:t>
      </w:r>
      <w:r>
        <w:rPr>
          <w:spacing w:val="-22"/>
          <w:sz w:val="20"/>
        </w:rPr>
        <w:t> </w:t>
      </w:r>
      <w:r>
        <w:rPr>
          <w:sz w:val="20"/>
        </w:rPr>
        <w:t>hechas;</w:t>
      </w:r>
    </w:p>
    <w:p>
      <w:pPr>
        <w:pStyle w:val="BodyText"/>
        <w:spacing w:before="1"/>
      </w:pPr>
    </w:p>
    <w:p>
      <w:pPr>
        <w:pStyle w:val="BodyText"/>
        <w:ind w:left="838" w:right="126"/>
        <w:jc w:val="both"/>
      </w:pPr>
      <w:r>
        <w:rPr/>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pPr>
        <w:pStyle w:val="BodyText"/>
        <w:spacing w:before="8"/>
        <w:rPr>
          <w:sz w:val="19"/>
        </w:rPr>
      </w:pPr>
    </w:p>
    <w:p>
      <w:pPr>
        <w:pStyle w:val="ListParagraph"/>
        <w:numPr>
          <w:ilvl w:val="0"/>
          <w:numId w:val="8"/>
        </w:numPr>
        <w:tabs>
          <w:tab w:pos="1065" w:val="left" w:leader="none"/>
        </w:tabs>
        <w:spacing w:line="242" w:lineRule="auto" w:before="0" w:after="0"/>
        <w:ind w:left="838" w:right="123" w:firstLine="0"/>
        <w:jc w:val="both"/>
        <w:rPr>
          <w:sz w:val="20"/>
        </w:rPr>
      </w:pPr>
      <w:r>
        <w:rPr>
          <w:sz w:val="20"/>
        </w:rPr>
        <w:t>Las demás, desde el día siguiente al de la notificación personal o al de la fijación y publicación de la lista que se realice en los términos de la presente Ley. Tratándose de aquellos usuarios que cuenten</w:t>
      </w:r>
      <w:r>
        <w:rPr>
          <w:spacing w:val="43"/>
          <w:sz w:val="20"/>
        </w:rPr>
        <w:t> </w:t>
      </w:r>
      <w:r>
        <w:rPr>
          <w:sz w:val="20"/>
        </w:rPr>
        <w:t>con</w:t>
      </w:r>
      <w:r>
        <w:rPr>
          <w:spacing w:val="44"/>
          <w:sz w:val="20"/>
        </w:rPr>
        <w:t> </w:t>
      </w:r>
      <w:r>
        <w:rPr>
          <w:sz w:val="20"/>
        </w:rPr>
        <w:t>Firma</w:t>
      </w:r>
      <w:r>
        <w:rPr>
          <w:spacing w:val="44"/>
          <w:sz w:val="20"/>
        </w:rPr>
        <w:t> </w:t>
      </w:r>
      <w:r>
        <w:rPr>
          <w:sz w:val="20"/>
        </w:rPr>
        <w:t>Electrónica,</w:t>
      </w:r>
      <w:r>
        <w:rPr>
          <w:spacing w:val="45"/>
          <w:sz w:val="20"/>
        </w:rPr>
        <w:t> </w:t>
      </w:r>
      <w:r>
        <w:rPr>
          <w:sz w:val="20"/>
        </w:rPr>
        <w:t>la</w:t>
      </w:r>
      <w:r>
        <w:rPr>
          <w:spacing w:val="46"/>
          <w:sz w:val="20"/>
        </w:rPr>
        <w:t> </w:t>
      </w:r>
      <w:r>
        <w:rPr>
          <w:sz w:val="20"/>
        </w:rPr>
        <w:t>notificación</w:t>
      </w:r>
      <w:r>
        <w:rPr>
          <w:spacing w:val="44"/>
          <w:sz w:val="20"/>
        </w:rPr>
        <w:t> </w:t>
      </w:r>
      <w:r>
        <w:rPr>
          <w:sz w:val="20"/>
        </w:rPr>
        <w:t>por</w:t>
      </w:r>
      <w:r>
        <w:rPr>
          <w:spacing w:val="47"/>
          <w:sz w:val="20"/>
        </w:rPr>
        <w:t> </w:t>
      </w:r>
      <w:r>
        <w:rPr>
          <w:sz w:val="20"/>
        </w:rPr>
        <w:t>lista</w:t>
      </w:r>
      <w:r>
        <w:rPr>
          <w:spacing w:val="42"/>
          <w:sz w:val="20"/>
        </w:rPr>
        <w:t> </w:t>
      </w:r>
      <w:r>
        <w:rPr>
          <w:sz w:val="20"/>
        </w:rPr>
        <w:t>surtirá</w:t>
      </w:r>
      <w:r>
        <w:rPr>
          <w:spacing w:val="44"/>
          <w:sz w:val="20"/>
        </w:rPr>
        <w:t> </w:t>
      </w:r>
      <w:r>
        <w:rPr>
          <w:sz w:val="20"/>
        </w:rPr>
        <w:t>sus</w:t>
      </w:r>
      <w:r>
        <w:rPr>
          <w:spacing w:val="46"/>
          <w:sz w:val="20"/>
        </w:rPr>
        <w:t> </w:t>
      </w:r>
      <w:r>
        <w:rPr>
          <w:sz w:val="20"/>
        </w:rPr>
        <w:t>efectos</w:t>
      </w:r>
      <w:r>
        <w:rPr>
          <w:spacing w:val="43"/>
          <w:sz w:val="20"/>
        </w:rPr>
        <w:t> </w:t>
      </w:r>
      <w:r>
        <w:rPr>
          <w:sz w:val="20"/>
        </w:rPr>
        <w:t>cuando</w:t>
      </w:r>
      <w:r>
        <w:rPr>
          <w:spacing w:val="46"/>
          <w:sz w:val="20"/>
        </w:rPr>
        <w:t> </w:t>
      </w:r>
      <w:r>
        <w:rPr>
          <w:sz w:val="20"/>
        </w:rPr>
        <w:t>llegado</w:t>
      </w:r>
      <w:r>
        <w:rPr>
          <w:spacing w:val="43"/>
          <w:sz w:val="20"/>
        </w:rPr>
        <w:t> </w:t>
      </w:r>
      <w:r>
        <w:rPr>
          <w:sz w:val="20"/>
        </w:rPr>
        <w:t>el</w:t>
      </w:r>
    </w:p>
    <w:p>
      <w:pPr>
        <w:spacing w:after="0" w:line="242" w:lineRule="auto"/>
        <w:jc w:val="both"/>
        <w:rPr>
          <w:sz w:val="20"/>
        </w:rPr>
        <w:sectPr>
          <w:pgSz w:w="12240" w:h="15840"/>
          <w:pgMar w:header="708" w:footer="712" w:top="1760" w:bottom="900" w:left="1300" w:right="1300"/>
        </w:sectPr>
      </w:pPr>
    </w:p>
    <w:p>
      <w:pPr>
        <w:pStyle w:val="BodyText"/>
        <w:spacing w:before="8"/>
        <w:rPr>
          <w:sz w:val="27"/>
        </w:rPr>
      </w:pPr>
    </w:p>
    <w:p>
      <w:pPr>
        <w:pStyle w:val="BodyText"/>
        <w:spacing w:before="92"/>
        <w:ind w:left="838" w:right="123"/>
        <w:jc w:val="both"/>
      </w:pPr>
      <w:r>
        <w:rPr/>
        <w:t>término al que se refiere la fracción II del artículo 30, no hubieren generado la constancia electrónica que acredite la consulta de los archivos respectivos, debiendo asentar el actuario la razón correspondiente; y</w:t>
      </w:r>
    </w:p>
    <w:p>
      <w:pPr>
        <w:pStyle w:val="BodyText"/>
        <w:spacing w:before="9"/>
        <w:rPr>
          <w:sz w:val="19"/>
        </w:rPr>
      </w:pPr>
    </w:p>
    <w:p>
      <w:pPr>
        <w:pStyle w:val="ListParagraph"/>
        <w:numPr>
          <w:ilvl w:val="0"/>
          <w:numId w:val="8"/>
        </w:numPr>
        <w:tabs>
          <w:tab w:pos="1125" w:val="left" w:leader="none"/>
        </w:tabs>
        <w:spacing w:line="242" w:lineRule="auto" w:before="0" w:after="0"/>
        <w:ind w:left="838" w:right="121" w:firstLine="0"/>
        <w:jc w:val="both"/>
        <w:rPr>
          <w:sz w:val="20"/>
        </w:rPr>
      </w:pPr>
      <w:r>
        <w:rPr>
          <w:sz w:val="20"/>
        </w:rPr>
        <w:t>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pPr>
        <w:pStyle w:val="BodyText"/>
        <w:spacing w:before="4"/>
        <w:rPr>
          <w:sz w:val="19"/>
        </w:rPr>
      </w:pPr>
    </w:p>
    <w:p>
      <w:pPr>
        <w:pStyle w:val="BodyText"/>
        <w:ind w:left="838" w:right="123"/>
        <w:jc w:val="both"/>
      </w:pPr>
      <w:r>
        <w:rPr/>
        <w:t>Se entiende generada la constancia cuando el sistema electrónico del Poder Judicial de la Federación produzca el aviso de la hora en que se recupere la determinación judicial correspondiente, contenida en el archivo electrónico.</w:t>
      </w:r>
    </w:p>
    <w:p>
      <w:pPr>
        <w:pStyle w:val="BodyText"/>
      </w:pPr>
    </w:p>
    <w:p>
      <w:pPr>
        <w:pStyle w:val="BodyText"/>
        <w:spacing w:line="242" w:lineRule="auto"/>
        <w:ind w:left="118" w:right="338" w:firstLine="288"/>
      </w:pPr>
      <w:bookmarkStart w:name="Artículo_32" w:id="32"/>
      <w:bookmarkEnd w:id="32"/>
      <w:r>
        <w:rPr/>
      </w:r>
      <w:r>
        <w:rPr>
          <w:b/>
        </w:rPr>
        <w:t>Artículo 32. </w:t>
      </w:r>
      <w:r>
        <w:rPr/>
        <w:t>Serán nulas las notificaciones que no se hicieren en la forma que establecen las disposiciones precedentes.</w:t>
      </w:r>
    </w:p>
    <w:p>
      <w:pPr>
        <w:pStyle w:val="BodyText"/>
        <w:spacing w:before="5"/>
        <w:rPr>
          <w:sz w:val="11"/>
        </w:rPr>
      </w:pPr>
    </w:p>
    <w:p>
      <w:pPr>
        <w:pStyle w:val="Heading1"/>
        <w:spacing w:before="93"/>
      </w:pPr>
      <w:r>
        <w:rPr/>
        <w:t>CAPÍTULO</w:t>
      </w:r>
      <w:r>
        <w:rPr>
          <w:spacing w:val="-3"/>
        </w:rPr>
        <w:t> </w:t>
      </w:r>
      <w:r>
        <w:rPr/>
        <w:t>V</w:t>
      </w:r>
    </w:p>
    <w:p>
      <w:pPr>
        <w:spacing w:before="2"/>
        <w:ind w:left="607" w:right="604" w:firstLine="0"/>
        <w:jc w:val="center"/>
        <w:rPr>
          <w:b/>
          <w:sz w:val="22"/>
        </w:rPr>
      </w:pPr>
      <w:r>
        <w:rPr>
          <w:b/>
          <w:sz w:val="22"/>
        </w:rPr>
        <w:t>Competencia</w:t>
      </w:r>
    </w:p>
    <w:p>
      <w:pPr>
        <w:pStyle w:val="BodyText"/>
        <w:spacing w:before="9"/>
        <w:rPr>
          <w:b/>
          <w:sz w:val="21"/>
        </w:rPr>
      </w:pPr>
    </w:p>
    <w:p>
      <w:pPr>
        <w:spacing w:before="0"/>
        <w:ind w:left="3580" w:right="3576" w:firstLine="2"/>
        <w:jc w:val="center"/>
        <w:rPr>
          <w:b/>
          <w:sz w:val="22"/>
        </w:rPr>
      </w:pPr>
      <w:r>
        <w:rPr>
          <w:b/>
          <w:sz w:val="22"/>
        </w:rPr>
        <w:t>Sección Primera Reglas de</w:t>
      </w:r>
      <w:r>
        <w:rPr>
          <w:b/>
          <w:spacing w:val="13"/>
          <w:sz w:val="22"/>
        </w:rPr>
        <w:t> </w:t>
      </w:r>
      <w:r>
        <w:rPr>
          <w:b/>
          <w:spacing w:val="-3"/>
          <w:sz w:val="22"/>
        </w:rPr>
        <w:t>Competencia</w:t>
      </w:r>
    </w:p>
    <w:p>
      <w:pPr>
        <w:pStyle w:val="BodyText"/>
        <w:rPr>
          <w:b/>
        </w:rPr>
      </w:pPr>
    </w:p>
    <w:p>
      <w:pPr>
        <w:spacing w:before="1"/>
        <w:ind w:left="406" w:right="0" w:firstLine="0"/>
        <w:jc w:val="left"/>
        <w:rPr>
          <w:sz w:val="20"/>
        </w:rPr>
      </w:pPr>
      <w:bookmarkStart w:name="Artículo_33" w:id="33"/>
      <w:bookmarkEnd w:id="33"/>
      <w:r>
        <w:rPr/>
      </w:r>
      <w:r>
        <w:rPr>
          <w:b/>
          <w:sz w:val="20"/>
        </w:rPr>
        <w:t>Artículo 33. </w:t>
      </w:r>
      <w:r>
        <w:rPr>
          <w:sz w:val="20"/>
        </w:rPr>
        <w:t>Son competentes para conocer del juicio de amparo:</w:t>
      </w:r>
    </w:p>
    <w:p>
      <w:pPr>
        <w:pStyle w:val="BodyText"/>
      </w:pPr>
    </w:p>
    <w:p>
      <w:pPr>
        <w:pStyle w:val="ListParagraph"/>
        <w:numPr>
          <w:ilvl w:val="0"/>
          <w:numId w:val="9"/>
        </w:numPr>
        <w:tabs>
          <w:tab w:pos="1005" w:val="left" w:leader="none"/>
        </w:tabs>
        <w:spacing w:line="240" w:lineRule="auto" w:before="0" w:after="0"/>
        <w:ind w:left="1004" w:right="0" w:hanging="167"/>
        <w:jc w:val="left"/>
        <w:rPr>
          <w:sz w:val="20"/>
        </w:rPr>
      </w:pPr>
      <w:r>
        <w:rPr>
          <w:sz w:val="20"/>
        </w:rPr>
        <w:t>La Suprema Corte de Justicia de la</w:t>
      </w:r>
      <w:r>
        <w:rPr>
          <w:spacing w:val="-2"/>
          <w:sz w:val="20"/>
        </w:rPr>
        <w:t> </w:t>
      </w:r>
      <w:r>
        <w:rPr>
          <w:sz w:val="20"/>
        </w:rPr>
        <w:t>Nación;</w:t>
      </w:r>
    </w:p>
    <w:p>
      <w:pPr>
        <w:pStyle w:val="BodyText"/>
        <w:spacing w:before="10"/>
        <w:rPr>
          <w:sz w:val="19"/>
        </w:rPr>
      </w:pPr>
    </w:p>
    <w:p>
      <w:pPr>
        <w:pStyle w:val="ListParagraph"/>
        <w:numPr>
          <w:ilvl w:val="0"/>
          <w:numId w:val="9"/>
        </w:numPr>
        <w:tabs>
          <w:tab w:pos="1060" w:val="left" w:leader="none"/>
        </w:tabs>
        <w:spacing w:line="240" w:lineRule="auto" w:before="0" w:after="0"/>
        <w:ind w:left="1059" w:right="0" w:hanging="222"/>
        <w:jc w:val="left"/>
        <w:rPr>
          <w:sz w:val="20"/>
        </w:rPr>
      </w:pPr>
      <w:r>
        <w:rPr>
          <w:sz w:val="20"/>
        </w:rPr>
        <w:t>Los tribunales colegiados de</w:t>
      </w:r>
      <w:r>
        <w:rPr>
          <w:spacing w:val="-2"/>
          <w:sz w:val="20"/>
        </w:rPr>
        <w:t> </w:t>
      </w:r>
      <w:r>
        <w:rPr>
          <w:sz w:val="20"/>
        </w:rPr>
        <w:t>circuito;</w:t>
      </w:r>
    </w:p>
    <w:p>
      <w:pPr>
        <w:pStyle w:val="BodyText"/>
        <w:spacing w:before="1"/>
      </w:pPr>
    </w:p>
    <w:p>
      <w:pPr>
        <w:pStyle w:val="ListParagraph"/>
        <w:numPr>
          <w:ilvl w:val="0"/>
          <w:numId w:val="9"/>
        </w:numPr>
        <w:tabs>
          <w:tab w:pos="1115" w:val="left" w:leader="none"/>
        </w:tabs>
        <w:spacing w:line="240" w:lineRule="auto" w:before="1" w:after="0"/>
        <w:ind w:left="1114" w:right="0" w:hanging="277"/>
        <w:jc w:val="left"/>
        <w:rPr>
          <w:sz w:val="20"/>
        </w:rPr>
      </w:pPr>
      <w:r>
        <w:rPr>
          <w:sz w:val="20"/>
        </w:rPr>
        <w:t>Los tribunales unitarios de circuito;</w:t>
      </w:r>
    </w:p>
    <w:p>
      <w:pPr>
        <w:pStyle w:val="BodyText"/>
      </w:pPr>
    </w:p>
    <w:p>
      <w:pPr>
        <w:pStyle w:val="ListParagraph"/>
        <w:numPr>
          <w:ilvl w:val="0"/>
          <w:numId w:val="9"/>
        </w:numPr>
        <w:tabs>
          <w:tab w:pos="1137" w:val="left" w:leader="none"/>
        </w:tabs>
        <w:spacing w:line="240" w:lineRule="auto" w:before="1" w:after="0"/>
        <w:ind w:left="1136" w:right="0" w:hanging="299"/>
        <w:jc w:val="left"/>
        <w:rPr>
          <w:sz w:val="20"/>
        </w:rPr>
      </w:pPr>
      <w:r>
        <w:rPr>
          <w:sz w:val="20"/>
        </w:rPr>
        <w:t>Los juzgados de distrito;</w:t>
      </w:r>
      <w:r>
        <w:rPr>
          <w:spacing w:val="1"/>
          <w:sz w:val="20"/>
        </w:rPr>
        <w:t> </w:t>
      </w:r>
      <w:r>
        <w:rPr>
          <w:sz w:val="20"/>
        </w:rPr>
        <w:t>y</w:t>
      </w:r>
    </w:p>
    <w:p>
      <w:pPr>
        <w:pStyle w:val="BodyText"/>
        <w:spacing w:before="9"/>
        <w:rPr>
          <w:sz w:val="19"/>
        </w:rPr>
      </w:pPr>
    </w:p>
    <w:p>
      <w:pPr>
        <w:pStyle w:val="ListParagraph"/>
        <w:numPr>
          <w:ilvl w:val="0"/>
          <w:numId w:val="9"/>
        </w:numPr>
        <w:tabs>
          <w:tab w:pos="1089" w:val="left" w:leader="none"/>
        </w:tabs>
        <w:spacing w:line="242" w:lineRule="auto" w:before="0" w:after="0"/>
        <w:ind w:left="838" w:right="116" w:firstLine="0"/>
        <w:jc w:val="left"/>
        <w:rPr>
          <w:sz w:val="20"/>
        </w:rPr>
      </w:pPr>
      <w:r>
        <w:rPr>
          <w:sz w:val="20"/>
        </w:rPr>
        <w:t>Los órganos jurisdiccionales de los poderes judiciales de los Estados y del Distrito Federal, en los casos previstos por esta Ley.</w:t>
      </w:r>
    </w:p>
    <w:p>
      <w:pPr>
        <w:pStyle w:val="BodyText"/>
        <w:spacing w:before="8"/>
        <w:rPr>
          <w:sz w:val="19"/>
        </w:rPr>
      </w:pPr>
    </w:p>
    <w:p>
      <w:pPr>
        <w:pStyle w:val="BodyText"/>
        <w:spacing w:line="242" w:lineRule="auto" w:before="1"/>
        <w:ind w:left="118" w:right="123" w:firstLine="288"/>
        <w:jc w:val="both"/>
      </w:pPr>
      <w:bookmarkStart w:name="Artículo_34" w:id="34"/>
      <w:bookmarkEnd w:id="34"/>
      <w:r>
        <w:rPr/>
      </w:r>
      <w:r>
        <w:rPr>
          <w:b/>
        </w:rPr>
        <w:t>Artículo 34. </w:t>
      </w:r>
      <w:r>
        <w:rPr/>
        <w:t>Los tribunales colegiados de circuito son competentes para conocer del juicio de amparo directo.</w:t>
      </w:r>
    </w:p>
    <w:p>
      <w:pPr>
        <w:pStyle w:val="BodyText"/>
        <w:spacing w:before="8"/>
        <w:rPr>
          <w:sz w:val="19"/>
        </w:rPr>
      </w:pPr>
    </w:p>
    <w:p>
      <w:pPr>
        <w:pStyle w:val="BodyText"/>
        <w:ind w:left="118" w:right="121" w:firstLine="288"/>
        <w:jc w:val="both"/>
      </w:pPr>
      <w:r>
        <w:rPr/>
        <w:t>La competencia de los tribunales se fija de acuerdo con la residencia de la autoridad que haya dictado el acto reclamado y, en su caso, atendiendo a la especialización por materia.</w:t>
      </w:r>
    </w:p>
    <w:p>
      <w:pPr>
        <w:pStyle w:val="BodyText"/>
        <w:spacing w:before="1"/>
      </w:pPr>
    </w:p>
    <w:p>
      <w:pPr>
        <w:pStyle w:val="BodyText"/>
        <w:ind w:left="118" w:right="118" w:firstLine="288"/>
        <w:jc w:val="both"/>
      </w:pPr>
      <w:r>
        <w:rPr/>
        <w:t>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tener ejecución en más de un circuito o ha comenzado a ejecutarse en uno de ellos y sigue ejecutándose en otro, es competente el tribunal colegiado de circuito que primero hubiere recibido la demanda; en su defecto, aquél que dicte acuerdo sobre la misma.</w:t>
      </w:r>
    </w:p>
    <w:p>
      <w:pPr>
        <w:pStyle w:val="BodyText"/>
        <w:spacing w:before="10"/>
        <w:rPr>
          <w:sz w:val="19"/>
        </w:rPr>
      </w:pPr>
    </w:p>
    <w:p>
      <w:pPr>
        <w:pStyle w:val="BodyText"/>
        <w:ind w:left="118" w:right="118" w:firstLine="288"/>
        <w:jc w:val="both"/>
      </w:pPr>
      <w:bookmarkStart w:name="Artículo_35" w:id="35"/>
      <w:bookmarkEnd w:id="35"/>
      <w:r>
        <w:rPr/>
      </w:r>
      <w:r>
        <w:rPr>
          <w:b/>
        </w:rPr>
        <w:t>Artículo 35. </w:t>
      </w:r>
      <w:r>
        <w:rPr/>
        <w:t>Los juzgados de distrito y los tribunales unitarios de circuito son competentes para conocer del juicio de amparo indirecto.</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5" w:firstLine="288"/>
        <w:jc w:val="both"/>
      </w:pPr>
      <w:r>
        <w:rPr/>
        <w:t>También lo serán las autoridades del orden común cuando actúen en auxilio de los órganos jurisdiccionales de amparo.</w:t>
      </w:r>
    </w:p>
    <w:p>
      <w:pPr>
        <w:pStyle w:val="BodyText"/>
        <w:spacing w:before="11"/>
        <w:rPr>
          <w:sz w:val="19"/>
        </w:rPr>
      </w:pPr>
    </w:p>
    <w:p>
      <w:pPr>
        <w:pStyle w:val="BodyText"/>
        <w:ind w:left="118" w:right="116" w:firstLine="288"/>
        <w:jc w:val="both"/>
      </w:pPr>
      <w:bookmarkStart w:name="Artículo_36" w:id="36"/>
      <w:bookmarkEnd w:id="36"/>
      <w:r>
        <w:rPr/>
      </w:r>
      <w:r>
        <w:rPr>
          <w:b/>
        </w:rPr>
        <w:t>Artículo 36. </w:t>
      </w:r>
      <w:r>
        <w:rPr/>
        <w:t>Los tribunales unitarios de circuito sólo conocerán de los juicios de amparo indirecto promovidos contra actos de otros tribunales de la misma naturaleza. Será competente otro tribunal del mismo circuito, si lo hubiera, o el más próximo a la residencia de aquél que haya emitido el acto reclamado.</w:t>
      </w:r>
    </w:p>
    <w:p>
      <w:pPr>
        <w:pStyle w:val="BodyText"/>
        <w:spacing w:before="11"/>
        <w:rPr>
          <w:sz w:val="19"/>
        </w:rPr>
      </w:pPr>
    </w:p>
    <w:p>
      <w:pPr>
        <w:pStyle w:val="BodyText"/>
        <w:ind w:left="118" w:right="118" w:firstLine="288"/>
        <w:jc w:val="both"/>
      </w:pPr>
      <w:bookmarkStart w:name="Artículo_37" w:id="37"/>
      <w:bookmarkEnd w:id="37"/>
      <w:r>
        <w:rPr/>
      </w:r>
      <w:r>
        <w:rPr>
          <w:b/>
        </w:rPr>
        <w:t>Artículo 37. </w:t>
      </w:r>
      <w:r>
        <w:rPr/>
        <w:t>Es juez competente el que tenga jurisdicción en el lugar donde el acto que se reclame deba tener ejecución, trate de ejecutarse, se esté ejecutando o se haya ejecutado.</w:t>
      </w:r>
    </w:p>
    <w:p>
      <w:pPr>
        <w:pStyle w:val="BodyText"/>
        <w:spacing w:before="1"/>
      </w:pPr>
    </w:p>
    <w:p>
      <w:pPr>
        <w:pStyle w:val="BodyText"/>
        <w:ind w:left="118" w:right="114" w:firstLine="288"/>
        <w:jc w:val="both"/>
      </w:pPr>
      <w:r>
        <w:rPr/>
        <w:t>Si el acto reclamado puede tener ejecución en más de un distrito o ha comenzado a ejecutarse en uno de ellos y sigue ejecutándose en otro, es competente el juez de distrito ante el que se presente la demanda.</w:t>
      </w:r>
    </w:p>
    <w:p>
      <w:pPr>
        <w:pStyle w:val="BodyText"/>
      </w:pPr>
    </w:p>
    <w:p>
      <w:pPr>
        <w:pStyle w:val="BodyText"/>
        <w:ind w:left="118" w:right="127" w:firstLine="288"/>
        <w:jc w:val="both"/>
      </w:pPr>
      <w:r>
        <w:rPr/>
        <w:t>Cuando el acto reclamado no requiera ejecución material es competente el juez de distrito en cuya jurisdicción se haya presentado la demanda.</w:t>
      </w:r>
    </w:p>
    <w:p>
      <w:pPr>
        <w:pStyle w:val="BodyText"/>
        <w:spacing w:before="10"/>
        <w:rPr>
          <w:sz w:val="19"/>
        </w:rPr>
      </w:pPr>
    </w:p>
    <w:p>
      <w:pPr>
        <w:pStyle w:val="BodyText"/>
        <w:spacing w:line="242" w:lineRule="auto"/>
        <w:ind w:left="118" w:right="126" w:firstLine="288"/>
        <w:jc w:val="both"/>
      </w:pPr>
      <w:bookmarkStart w:name="Artículo_38" w:id="38"/>
      <w:bookmarkEnd w:id="38"/>
      <w:r>
        <w:rPr/>
      </w:r>
      <w:r>
        <w:rPr>
          <w:b/>
        </w:rPr>
        <w:t>Artículo 38. </w:t>
      </w:r>
      <w:r>
        <w:rPr/>
        <w:t>Es competente para conocer del juicio de amparo indirecto que se promueva contra los actos de un juez de distrito, otro del mismo distrito y especialización en su caso y, si no lo hubiera, el más cercano dentro de la jurisdicción del circuito al que pertenezca.</w:t>
      </w:r>
    </w:p>
    <w:p>
      <w:pPr>
        <w:pStyle w:val="BodyText"/>
        <w:spacing w:before="4"/>
        <w:rPr>
          <w:sz w:val="19"/>
        </w:rPr>
      </w:pPr>
    </w:p>
    <w:p>
      <w:pPr>
        <w:pStyle w:val="BodyText"/>
        <w:spacing w:line="242" w:lineRule="auto"/>
        <w:ind w:left="118" w:right="123" w:firstLine="288"/>
        <w:jc w:val="both"/>
      </w:pPr>
      <w:bookmarkStart w:name="Artículo_39" w:id="39"/>
      <w:bookmarkEnd w:id="39"/>
      <w:r>
        <w:rPr/>
      </w:r>
      <w:r>
        <w:rPr>
          <w:b/>
        </w:rPr>
        <w:t>Artículo 39. </w:t>
      </w:r>
      <w:r>
        <w:rPr/>
        <w:t>Cuando se trate de amparos contra actos de autoridades que actúen en auxilio de la justicia federal, no podrá conocer el juez de distrito que deba avocarse al conocimiento del asunto en que se haya originado el acto reclamado.</w:t>
      </w:r>
    </w:p>
    <w:p>
      <w:pPr>
        <w:pStyle w:val="BodyText"/>
        <w:spacing w:before="9"/>
        <w:rPr>
          <w:sz w:val="19"/>
        </w:rPr>
      </w:pPr>
    </w:p>
    <w:p>
      <w:pPr>
        <w:pStyle w:val="BodyText"/>
        <w:ind w:left="118" w:right="128" w:firstLine="288"/>
        <w:jc w:val="both"/>
      </w:pPr>
      <w:r>
        <w:rPr/>
        <w:t>En este caso, conocerá otro del mismo distrito y especialización, en su caso, y si no lo hubiera, el más cercano dentro de la jurisdicción del circuito a que pertenezca.</w:t>
      </w:r>
    </w:p>
    <w:p>
      <w:pPr>
        <w:pStyle w:val="BodyText"/>
        <w:spacing w:before="8"/>
        <w:rPr>
          <w:sz w:val="19"/>
        </w:rPr>
      </w:pPr>
    </w:p>
    <w:p>
      <w:pPr>
        <w:pStyle w:val="BodyText"/>
        <w:ind w:left="118" w:right="115" w:firstLine="288"/>
        <w:jc w:val="both"/>
      </w:pPr>
      <w:bookmarkStart w:name="Artículo_40" w:id="40"/>
      <w:bookmarkEnd w:id="40"/>
      <w:r>
        <w:rPr/>
      </w:r>
      <w:r>
        <w:rPr>
          <w:b/>
        </w:rPr>
        <w:t>Artículo 40. </w:t>
      </w:r>
      <w:r>
        <w:rPr/>
        <w:t>El pleno o las salas de la Suprema Corte de Justicia de la Nación podrán ejercer, de manera oficiosa o a solicitud del Procurador General de la República la facultad de atracción para conocer de un amparo directo que corresponda resolver a los tribunales colegiados de circuito, cuando por su interés y trascendencia lo ameriten, de conformidad con el siguiente</w:t>
      </w:r>
      <w:r>
        <w:rPr>
          <w:spacing w:val="-12"/>
        </w:rPr>
        <w:t> </w:t>
      </w:r>
      <w:r>
        <w:rPr/>
        <w:t>procedimiento:</w:t>
      </w:r>
    </w:p>
    <w:p>
      <w:pPr>
        <w:pStyle w:val="BodyText"/>
      </w:pPr>
    </w:p>
    <w:p>
      <w:pPr>
        <w:pStyle w:val="ListParagraph"/>
        <w:numPr>
          <w:ilvl w:val="0"/>
          <w:numId w:val="10"/>
        </w:numPr>
        <w:tabs>
          <w:tab w:pos="1050" w:val="left" w:leader="none"/>
        </w:tabs>
        <w:spacing w:line="242" w:lineRule="auto" w:before="0" w:after="0"/>
        <w:ind w:left="838" w:right="115" w:firstLine="0"/>
        <w:jc w:val="both"/>
        <w:rPr>
          <w:sz w:val="20"/>
        </w:rPr>
      </w:pPr>
      <w:r>
        <w:rPr>
          <w:sz w:val="20"/>
        </w:rPr>
        <w:t>Planteado el caso por cualquiera de los ministros</w:t>
      </w:r>
      <w:r>
        <w:rPr>
          <w:b/>
          <w:sz w:val="20"/>
        </w:rPr>
        <w:t>, </w:t>
      </w:r>
      <w:r>
        <w:rPr>
          <w:sz w:val="20"/>
        </w:rPr>
        <w:t>o en su caso hecha la solicitud por el Procurador General de la República, el pleno o la sala acordará si procede solicitar los autos al tribunal colegiado de circuito, en cuyo caso, previa suspensión del procedimiento, éste los remitirá dentro del plazo de tres días siguientes a la recepción de la</w:t>
      </w:r>
      <w:r>
        <w:rPr>
          <w:spacing w:val="-7"/>
          <w:sz w:val="20"/>
        </w:rPr>
        <w:t> </w:t>
      </w:r>
      <w:r>
        <w:rPr>
          <w:sz w:val="20"/>
        </w:rPr>
        <w:t>solicitud;</w:t>
      </w:r>
    </w:p>
    <w:p>
      <w:pPr>
        <w:pStyle w:val="BodyText"/>
        <w:spacing w:before="2"/>
        <w:rPr>
          <w:sz w:val="19"/>
        </w:rPr>
      </w:pPr>
    </w:p>
    <w:p>
      <w:pPr>
        <w:pStyle w:val="ListParagraph"/>
        <w:numPr>
          <w:ilvl w:val="0"/>
          <w:numId w:val="10"/>
        </w:numPr>
        <w:tabs>
          <w:tab w:pos="1060" w:val="left" w:leader="none"/>
        </w:tabs>
        <w:spacing w:line="242" w:lineRule="auto" w:before="0" w:after="0"/>
        <w:ind w:left="838" w:right="117" w:firstLine="0"/>
        <w:jc w:val="both"/>
        <w:rPr>
          <w:sz w:val="20"/>
        </w:rPr>
      </w:pPr>
      <w:r>
        <w:rPr>
          <w:sz w:val="20"/>
        </w:rPr>
        <w:t>Recibidos los autos se turnará el asunto al ministro que corresponda, para que dentro </w:t>
      </w:r>
      <w:r>
        <w:rPr>
          <w:spacing w:val="2"/>
          <w:sz w:val="20"/>
        </w:rPr>
        <w:t>del</w:t>
      </w:r>
      <w:r>
        <w:rPr>
          <w:spacing w:val="-29"/>
          <w:sz w:val="20"/>
        </w:rPr>
        <w:t> </w:t>
      </w:r>
      <w:r>
        <w:rPr>
          <w:sz w:val="20"/>
        </w:rPr>
        <w:t>plazo de quince días formule dictamen a efecto de resolver si se ejerce o no dicha facultad;</w:t>
      </w:r>
      <w:r>
        <w:rPr>
          <w:spacing w:val="-15"/>
          <w:sz w:val="20"/>
        </w:rPr>
        <w:t> </w:t>
      </w:r>
      <w:r>
        <w:rPr>
          <w:sz w:val="20"/>
        </w:rPr>
        <w:t>y</w:t>
      </w:r>
    </w:p>
    <w:p>
      <w:pPr>
        <w:pStyle w:val="BodyText"/>
        <w:spacing w:before="8"/>
        <w:rPr>
          <w:sz w:val="19"/>
        </w:rPr>
      </w:pPr>
    </w:p>
    <w:p>
      <w:pPr>
        <w:pStyle w:val="ListParagraph"/>
        <w:numPr>
          <w:ilvl w:val="0"/>
          <w:numId w:val="10"/>
        </w:numPr>
        <w:tabs>
          <w:tab w:pos="1142" w:val="left" w:leader="none"/>
        </w:tabs>
        <w:spacing w:line="242" w:lineRule="auto" w:before="0" w:after="0"/>
        <w:ind w:left="838" w:right="124" w:firstLine="0"/>
        <w:jc w:val="both"/>
        <w:rPr>
          <w:sz w:val="20"/>
        </w:rPr>
      </w:pPr>
      <w:r>
        <w:rPr>
          <w:sz w:val="20"/>
        </w:rPr>
        <w:t>Transcurrido el plazo anterior, el dictamen será discutido por el tribunal pleno o por la sala dentro de los tres días</w:t>
      </w:r>
      <w:r>
        <w:rPr>
          <w:spacing w:val="2"/>
          <w:sz w:val="20"/>
        </w:rPr>
        <w:t> </w:t>
      </w:r>
      <w:r>
        <w:rPr>
          <w:sz w:val="20"/>
        </w:rPr>
        <w:t>siguientes.</w:t>
      </w:r>
    </w:p>
    <w:p>
      <w:pPr>
        <w:pStyle w:val="BodyText"/>
        <w:spacing w:before="9"/>
        <w:rPr>
          <w:sz w:val="19"/>
        </w:rPr>
      </w:pPr>
    </w:p>
    <w:p>
      <w:pPr>
        <w:pStyle w:val="BodyText"/>
        <w:ind w:left="118" w:right="126" w:firstLine="288"/>
        <w:jc w:val="both"/>
      </w:pPr>
      <w:r>
        <w:rPr/>
        <w:t>Si el pleno o la sala decide ejercer la facultad de atracción se avocará al conocimiento; en caso contrario, devolverá los autos al tribunal de origen.</w:t>
      </w:r>
    </w:p>
    <w:p>
      <w:pPr>
        <w:pStyle w:val="BodyText"/>
        <w:spacing w:before="11"/>
        <w:rPr>
          <w:sz w:val="19"/>
        </w:rPr>
      </w:pPr>
    </w:p>
    <w:p>
      <w:pPr>
        <w:pStyle w:val="Heading1"/>
        <w:ind w:left="3409" w:right="3404" w:firstLine="1"/>
      </w:pPr>
      <w:r>
        <w:rPr/>
        <w:t>Sección Segunda Conflictos Competenciales</w:t>
      </w:r>
    </w:p>
    <w:p>
      <w:pPr>
        <w:pStyle w:val="BodyText"/>
        <w:spacing w:before="9"/>
        <w:rPr>
          <w:b/>
          <w:sz w:val="19"/>
        </w:rPr>
      </w:pPr>
    </w:p>
    <w:p>
      <w:pPr>
        <w:pStyle w:val="BodyText"/>
        <w:ind w:left="406"/>
      </w:pPr>
      <w:bookmarkStart w:name="Artículo_41" w:id="41"/>
      <w:bookmarkEnd w:id="41"/>
      <w:r>
        <w:rPr/>
      </w:r>
      <w:r>
        <w:rPr>
          <w:b/>
        </w:rPr>
        <w:t>Artículo 41. </w:t>
      </w:r>
      <w:r>
        <w:rPr/>
        <w:t>Ningún órgano jurisdiccional puede sostener competencia a su superior.</w:t>
      </w:r>
    </w:p>
    <w:p>
      <w:pPr>
        <w:spacing w:after="0"/>
        <w:sectPr>
          <w:pgSz w:w="12240" w:h="15840"/>
          <w:pgMar w:header="708" w:footer="712" w:top="1760" w:bottom="900" w:left="1300" w:right="1300"/>
        </w:sectPr>
      </w:pPr>
    </w:p>
    <w:p>
      <w:pPr>
        <w:pStyle w:val="BodyText"/>
      </w:pPr>
    </w:p>
    <w:p>
      <w:pPr>
        <w:pStyle w:val="BodyText"/>
        <w:spacing w:before="6"/>
        <w:rPr>
          <w:sz w:val="27"/>
        </w:rPr>
      </w:pPr>
    </w:p>
    <w:p>
      <w:pPr>
        <w:pStyle w:val="BodyText"/>
        <w:spacing w:line="242" w:lineRule="auto" w:before="92"/>
        <w:ind w:left="118" w:right="125" w:firstLine="288"/>
        <w:jc w:val="both"/>
      </w:pPr>
      <w:bookmarkStart w:name="Artículo_42" w:id="42"/>
      <w:bookmarkEnd w:id="42"/>
      <w:r>
        <w:rPr/>
      </w:r>
      <w:r>
        <w:rPr>
          <w:b/>
        </w:rPr>
        <w:t>Artículo 42. </w:t>
      </w:r>
      <w:r>
        <w:rPr/>
        <w:t>Luego que se suscite una cuestión de competencia, se suspenderá todo procedimiento con excepción del incidente de suspensión.</w:t>
      </w:r>
    </w:p>
    <w:p>
      <w:pPr>
        <w:pStyle w:val="BodyText"/>
        <w:spacing w:before="6"/>
        <w:rPr>
          <w:sz w:val="19"/>
        </w:rPr>
      </w:pPr>
    </w:p>
    <w:p>
      <w:pPr>
        <w:pStyle w:val="BodyText"/>
        <w:spacing w:line="242" w:lineRule="auto"/>
        <w:ind w:left="118" w:right="124" w:firstLine="288"/>
        <w:jc w:val="both"/>
      </w:pPr>
      <w:bookmarkStart w:name="Artículo_43" w:id="43"/>
      <w:bookmarkEnd w:id="43"/>
      <w:r>
        <w:rPr/>
      </w:r>
      <w:r>
        <w:rPr>
          <w:b/>
        </w:rPr>
        <w:t>Artículo 43. </w:t>
      </w:r>
      <w:r>
        <w:rPr/>
        <w:t>Cuando alguna de las salas de la Suprema Corte de Justicia de la Nación tenga información de que otra sala está conociendo de cualquier asunto a que aquélla le corresponda, la requerirá para que cese en el conocimiento y le remita los autos.</w:t>
      </w:r>
    </w:p>
    <w:p>
      <w:pPr>
        <w:pStyle w:val="BodyText"/>
        <w:spacing w:before="9"/>
        <w:rPr>
          <w:sz w:val="19"/>
        </w:rPr>
      </w:pPr>
    </w:p>
    <w:p>
      <w:pPr>
        <w:pStyle w:val="BodyText"/>
        <w:ind w:left="118" w:right="122" w:firstLine="288"/>
        <w:jc w:val="both"/>
      </w:pPr>
      <w:r>
        <w:rP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w:t>
      </w:r>
      <w:r>
        <w:rPr>
          <w:spacing w:val="-4"/>
        </w:rPr>
        <w:t> </w:t>
      </w:r>
      <w:r>
        <w:rPr/>
        <w:t>proceda.</w:t>
      </w:r>
    </w:p>
    <w:p>
      <w:pPr>
        <w:pStyle w:val="BodyText"/>
      </w:pPr>
    </w:p>
    <w:p>
      <w:pPr>
        <w:pStyle w:val="BodyText"/>
        <w:ind w:left="118" w:right="121" w:firstLine="288"/>
        <w:jc w:val="both"/>
      </w:pPr>
      <w:r>
        <w:rP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w:t>
      </w:r>
      <w:r>
        <w:rPr>
          <w:spacing w:val="-2"/>
        </w:rPr>
        <w:t> </w:t>
      </w:r>
      <w:r>
        <w:rPr/>
        <w:t>procedente.</w:t>
      </w:r>
    </w:p>
    <w:p>
      <w:pPr>
        <w:pStyle w:val="BodyText"/>
        <w:spacing w:before="10"/>
        <w:rPr>
          <w:sz w:val="19"/>
        </w:rPr>
      </w:pPr>
    </w:p>
    <w:p>
      <w:pPr>
        <w:pStyle w:val="BodyText"/>
        <w:ind w:left="118" w:right="124" w:firstLine="288"/>
        <w:jc w:val="both"/>
      </w:pPr>
      <w:bookmarkStart w:name="Artículo_44" w:id="44"/>
      <w:bookmarkEnd w:id="44"/>
      <w:r>
        <w:rPr/>
      </w:r>
      <w:r>
        <w:rPr>
          <w:b/>
        </w:rPr>
        <w:t>Artículo 44. </w:t>
      </w:r>
      <w:r>
        <w:rPr/>
        <w:t>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pPr>
        <w:pStyle w:val="BodyText"/>
        <w:spacing w:before="1"/>
      </w:pPr>
    </w:p>
    <w:p>
      <w:pPr>
        <w:pStyle w:val="BodyText"/>
        <w:ind w:left="118" w:right="128" w:firstLine="288"/>
        <w:jc w:val="both"/>
      </w:pPr>
      <w:r>
        <w:rPr/>
        <w:t>Si en el mismo supuesto del párrafo anterior quien conoce de la revisión es un tribunal colegiado de circuito, declarará insubsistente la sentencia recurrida y se avocará al conocimiento en la vía directa.</w:t>
      </w:r>
    </w:p>
    <w:p>
      <w:pPr>
        <w:pStyle w:val="BodyText"/>
        <w:spacing w:before="8"/>
        <w:rPr>
          <w:sz w:val="19"/>
        </w:rPr>
      </w:pPr>
    </w:p>
    <w:p>
      <w:pPr>
        <w:pStyle w:val="BodyText"/>
        <w:ind w:left="118" w:right="119" w:firstLine="288"/>
        <w:jc w:val="both"/>
      </w:pPr>
      <w:bookmarkStart w:name="Artículo_45" w:id="45"/>
      <w:bookmarkEnd w:id="45"/>
      <w:r>
        <w:rPr/>
      </w:r>
      <w:r>
        <w:rPr>
          <w:b/>
        </w:rPr>
        <w:t>Artículo 45. </w:t>
      </w:r>
      <w:r>
        <w:rPr/>
        <w:t>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pPr>
        <w:pStyle w:val="BodyText"/>
        <w:spacing w:before="1"/>
      </w:pPr>
    </w:p>
    <w:p>
      <w:pPr>
        <w:pStyle w:val="BodyText"/>
        <w:ind w:left="118" w:right="117" w:firstLine="288"/>
        <w:jc w:val="both"/>
      </w:pPr>
      <w:bookmarkStart w:name="Artículo_46" w:id="46"/>
      <w:bookmarkEnd w:id="46"/>
      <w:r>
        <w:rPr/>
      </w:r>
      <w:r>
        <w:rPr>
          <w:b/>
        </w:rPr>
        <w:t>Artículo 46. </w:t>
      </w:r>
      <w:r>
        <w:rPr/>
        <w:t>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w:t>
      </w:r>
      <w:r>
        <w:rPr>
          <w:spacing w:val="-20"/>
        </w:rPr>
        <w:t> </w:t>
      </w:r>
      <w:r>
        <w:rPr/>
        <w:t>proceda.</w:t>
      </w:r>
    </w:p>
    <w:p>
      <w:pPr>
        <w:pStyle w:val="BodyText"/>
        <w:spacing w:before="3"/>
      </w:pPr>
    </w:p>
    <w:p>
      <w:pPr>
        <w:pStyle w:val="BodyText"/>
        <w:ind w:left="118" w:right="116" w:firstLine="288"/>
        <w:jc w:val="both"/>
      </w:pPr>
      <w:r>
        <w:rPr/>
        <w:t>Cuando el tribunal colegiado de circuito que conozca de un juicio o recurso estime carecer de competencia para conocer de ellos, lo declarará así y enviará dentro de los tres días siguientes los autos al órgano jurisdiccional que en su concepto lo sea.</w:t>
      </w:r>
    </w:p>
    <w:p>
      <w:pPr>
        <w:pStyle w:val="BodyText"/>
      </w:pPr>
    </w:p>
    <w:p>
      <w:pPr>
        <w:pStyle w:val="BodyText"/>
        <w:ind w:left="118" w:right="121" w:firstLine="288"/>
        <w:jc w:val="both"/>
      </w:pPr>
      <w:r>
        <w:rP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pPr>
        <w:pStyle w:val="BodyText"/>
        <w:spacing w:before="11"/>
        <w:rPr>
          <w:sz w:val="19"/>
        </w:rPr>
      </w:pPr>
    </w:p>
    <w:p>
      <w:pPr>
        <w:pStyle w:val="BodyText"/>
        <w:ind w:left="118" w:right="117" w:firstLine="288"/>
        <w:jc w:val="both"/>
      </w:pPr>
      <w:bookmarkStart w:name="Artículo_47" w:id="47"/>
      <w:bookmarkEnd w:id="47"/>
      <w:r>
        <w:rPr/>
      </w:r>
      <w:r>
        <w:rPr>
          <w:b/>
        </w:rPr>
        <w:t>Artículo 47. </w:t>
      </w:r>
      <w:r>
        <w:rPr/>
        <w:t>Cuando se presente una demanda de amparo ante un juez de distrito o ante un tribunal unitario de circuito, en la que se reclamen actos que estimen sean materia de amparo directo, declararán carecer de competencia y de inmediato remitirán la demanda y sus anexos al tribunal colegiado de circuito que</w:t>
      </w:r>
      <w:r>
        <w:rPr>
          <w:spacing w:val="-3"/>
        </w:rPr>
        <w:t> </w:t>
      </w:r>
      <w:r>
        <w:rPr/>
        <w:t>corresponda.</w:t>
      </w:r>
    </w:p>
    <w:p>
      <w:pPr>
        <w:spacing w:after="0"/>
        <w:jc w:val="both"/>
        <w:sectPr>
          <w:pgSz w:w="12240" w:h="15840"/>
          <w:pgMar w:header="708" w:footer="712" w:top="1760" w:bottom="900" w:left="1300" w:right="1300"/>
        </w:sectPr>
      </w:pPr>
    </w:p>
    <w:p>
      <w:pPr>
        <w:pStyle w:val="BodyText"/>
      </w:pPr>
    </w:p>
    <w:p>
      <w:pPr>
        <w:pStyle w:val="BodyText"/>
        <w:spacing w:before="8"/>
        <w:rPr>
          <w:sz w:val="27"/>
        </w:rPr>
      </w:pPr>
    </w:p>
    <w:p>
      <w:pPr>
        <w:pStyle w:val="BodyText"/>
        <w:spacing w:before="93"/>
        <w:ind w:left="118" w:right="117" w:firstLine="288"/>
        <w:jc w:val="both"/>
      </w:pPr>
      <w:r>
        <w:rPr/>
        <w:t>El presidente del tribunal decidirá, sin trámite alguno, si acepta o no la competencia. En el primer caso, mandará tramitar el expediente y señalará al quejoso un plazo de cinco días para la presentación de las copias, notificará a la autoridad responsable para que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jueces de distrito o tribunales unitarios de</w:t>
      </w:r>
      <w:r>
        <w:rPr>
          <w:spacing w:val="-2"/>
        </w:rPr>
        <w:t> </w:t>
      </w:r>
      <w:r>
        <w:rPr/>
        <w:t>circuito.</w:t>
      </w:r>
    </w:p>
    <w:p>
      <w:pPr>
        <w:pStyle w:val="BodyText"/>
        <w:spacing w:before="10"/>
        <w:rPr>
          <w:sz w:val="19"/>
        </w:rPr>
      </w:pPr>
    </w:p>
    <w:p>
      <w:pPr>
        <w:pStyle w:val="BodyText"/>
        <w:ind w:left="118" w:right="117" w:firstLine="288"/>
        <w:jc w:val="both"/>
      </w:pPr>
      <w:r>
        <w:rPr/>
        <w:t>Si la competencia del tribunal colegiado de circuito aparece del informe justificado de la autoridad responsable, el juez de distrito o tribunal unitario de circuito se declarará incompetente conforme a este artículo, remitirá los autos al tribunal colegiado de circuito que estime competente para el efecto previsto en el párrafo anterior y lo comunicará a la autoridad responsable para que ésta en su caso, continúe lo relativo a la suspensión del acto reclamado conforme a lo establecido en esta Ley.</w:t>
      </w:r>
    </w:p>
    <w:p>
      <w:pPr>
        <w:pStyle w:val="BodyText"/>
        <w:spacing w:before="10"/>
        <w:rPr>
          <w:sz w:val="19"/>
        </w:rPr>
      </w:pPr>
    </w:p>
    <w:p>
      <w:pPr>
        <w:pStyle w:val="BodyText"/>
        <w:ind w:left="118" w:right="118" w:firstLine="288"/>
        <w:jc w:val="both"/>
      </w:pPr>
      <w:bookmarkStart w:name="Artículo_48" w:id="48"/>
      <w:bookmarkEnd w:id="48"/>
      <w:r>
        <w:rPr/>
      </w:r>
      <w:r>
        <w:rPr>
          <w:b/>
        </w:rPr>
        <w:t>Artículo 48. </w:t>
      </w:r>
      <w:r>
        <w:rPr/>
        <w:t>Cuando se presente una demanda de amparo ante juez de distrito o tribunal unitario de circuito y estimen carecer de competencia, la remitirán de plano, con sus anexos, al juez 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BodyText"/>
        <w:spacing w:before="3"/>
      </w:pPr>
    </w:p>
    <w:p>
      <w:pPr>
        <w:pStyle w:val="BodyText"/>
        <w:ind w:left="118" w:right="116" w:firstLine="288"/>
        <w:jc w:val="both"/>
      </w:pPr>
      <w:r>
        <w:rP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pPr>
        <w:pStyle w:val="BodyText"/>
      </w:pPr>
    </w:p>
    <w:p>
      <w:pPr>
        <w:pStyle w:val="BodyText"/>
        <w:ind w:left="118" w:right="117" w:firstLine="288"/>
        <w:jc w:val="both"/>
      </w:pPr>
      <w:r>
        <w:rPr/>
        <w:t>Si el conflicto competencial se plantea entre órganos que no sean de la jurisdicción de un mismo tribunal colegiado de circuito, lo resolverá el que ejerza jurisdicción sobre el requirente, quien remitirá los autos y dará aviso al requerido para que exponga lo conducente, debiéndose estar a lo que se dispone en el artículo</w:t>
      </w:r>
      <w:r>
        <w:rPr>
          <w:spacing w:val="-3"/>
        </w:rPr>
        <w:t> </w:t>
      </w:r>
      <w:r>
        <w:rPr/>
        <w:t>anterior.</w:t>
      </w:r>
    </w:p>
    <w:p>
      <w:pPr>
        <w:pStyle w:val="BodyText"/>
      </w:pPr>
    </w:p>
    <w:p>
      <w:pPr>
        <w:pStyle w:val="BodyText"/>
        <w:ind w:left="118" w:right="125" w:firstLine="288"/>
        <w:jc w:val="both"/>
      </w:pPr>
      <w:r>
        <w:rPr/>
        <w:t>Recibidos los autos y el oficio relativo, el tribunal colegiado de circuito tramitará el expediente y resolverá dentro de los ocho días siguientes quién debe conocer del juicio; comunicará su resolución a los involucrados y remitirá los autos al órgano declarado</w:t>
      </w:r>
      <w:r>
        <w:rPr>
          <w:spacing w:val="-6"/>
        </w:rPr>
        <w:t> </w:t>
      </w:r>
      <w:r>
        <w:rPr/>
        <w:t>competente.</w:t>
      </w:r>
    </w:p>
    <w:p>
      <w:pPr>
        <w:pStyle w:val="BodyText"/>
        <w:spacing w:before="2"/>
      </w:pPr>
    </w:p>
    <w:p>
      <w:pPr>
        <w:pStyle w:val="BodyText"/>
        <w:ind w:left="118" w:right="126" w:firstLine="288"/>
        <w:jc w:val="both"/>
      </w:pPr>
      <w:r>
        <w:rPr/>
        <w:t>Admitida la demanda de amparo indirecto ningún órgano jurisdiccional podrá declararse incompetente para conocer del juicio antes de resolver sobre la suspensión definitiva.</w:t>
      </w:r>
    </w:p>
    <w:p>
      <w:pPr>
        <w:pStyle w:val="BodyText"/>
        <w:spacing w:before="8"/>
        <w:rPr>
          <w:sz w:val="19"/>
        </w:rPr>
      </w:pPr>
    </w:p>
    <w:p>
      <w:pPr>
        <w:pStyle w:val="BodyText"/>
        <w:ind w:left="118" w:right="114" w:firstLine="288"/>
        <w:jc w:val="both"/>
      </w:pPr>
      <w:bookmarkStart w:name="Artículo_49" w:id="49"/>
      <w:bookmarkEnd w:id="49"/>
      <w:r>
        <w:rPr/>
      </w:r>
      <w:r>
        <w:rPr>
          <w:b/>
        </w:rPr>
        <w:t>Artículo 49. </w:t>
      </w:r>
      <w:r>
        <w:rPr/>
        <w:t>Cuando el juez de distrito o el tribunal unitario de circuito ante el cual se hubiese promovido un juicio de amparo tenga información de que otro está conociendo de un juicio diverso promovido por el mismo quejoso, contra las mismas autoridades y por el mismo acto reclamado, aunque los conceptos de violación sean distintos, lo comunicará de inmediato por oficio a dicho órgano, y  anexará la certificación del día y hora de presentación de la demanda, así como, en su caso, del auto dictado como primera actuación en el</w:t>
      </w:r>
      <w:r>
        <w:rPr>
          <w:spacing w:val="-4"/>
        </w:rPr>
        <w:t> </w:t>
      </w:r>
      <w:r>
        <w:rPr/>
        <w:t>juicio.</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5" w:firstLine="288"/>
        <w:jc w:val="both"/>
      </w:pPr>
      <w:r>
        <w:rPr/>
        <w:t>Recibido el oficio, el órgano resolverá dentro de las veinticuatro horas siguientes si se trata del mismo asunto y si le corresponde su conocimiento, y comunicará lo anterior al oficiante. Si reconoce la competencia de éste, le remitirá los autos relativos.</w:t>
      </w:r>
    </w:p>
    <w:p>
      <w:pPr>
        <w:pStyle w:val="BodyText"/>
      </w:pPr>
    </w:p>
    <w:p>
      <w:pPr>
        <w:pStyle w:val="BodyText"/>
        <w:ind w:left="406"/>
      </w:pPr>
      <w:r>
        <w:rPr/>
        <w:t>En caso de conflicto competencial, se estará a lo dispuesto en el artículo 48 de esta Ley.</w:t>
      </w:r>
    </w:p>
    <w:p>
      <w:pPr>
        <w:pStyle w:val="BodyText"/>
      </w:pPr>
    </w:p>
    <w:p>
      <w:pPr>
        <w:pStyle w:val="BodyText"/>
        <w:spacing w:before="1"/>
        <w:ind w:left="118" w:right="118" w:firstLine="288"/>
        <w:jc w:val="both"/>
      </w:pPr>
      <w:r>
        <w:rPr/>
        <w:t>Cuando se resuelva que se trata de un mismo asunto, se continuará el juicio promovido ante el juez de distrito o tribunal unitario de circuito que haya resultado competente y se deberá sobreseer en el otro juicio.</w:t>
      </w:r>
    </w:p>
    <w:p>
      <w:pPr>
        <w:pStyle w:val="BodyText"/>
        <w:spacing w:before="8"/>
        <w:rPr>
          <w:sz w:val="19"/>
        </w:rPr>
      </w:pPr>
    </w:p>
    <w:p>
      <w:pPr>
        <w:pStyle w:val="BodyText"/>
        <w:spacing w:line="242" w:lineRule="auto"/>
        <w:ind w:left="118" w:right="124" w:firstLine="288"/>
        <w:jc w:val="both"/>
      </w:pPr>
      <w:bookmarkStart w:name="Artículo_50" w:id="50"/>
      <w:bookmarkEnd w:id="50"/>
      <w:r>
        <w:rPr/>
      </w:r>
      <w:r>
        <w:rPr>
          <w:b/>
        </w:rPr>
        <w:t>Artículo 50. </w:t>
      </w:r>
      <w:r>
        <w:rPr/>
        <w:t>Cuando alguna de las partes estime que un juez de distrito o tribunal unitario de circuito está conociendo de un juicio de amparo que debe tramitarse como directo, podrá ocurrir ante el tribunal colegiado de circuito que estime competente y exhibir copia de la demanda y de las constancias conducentes.</w:t>
      </w:r>
    </w:p>
    <w:p>
      <w:pPr>
        <w:pStyle w:val="BodyText"/>
        <w:spacing w:before="5"/>
        <w:rPr>
          <w:sz w:val="19"/>
        </w:rPr>
      </w:pPr>
    </w:p>
    <w:p>
      <w:pPr>
        <w:pStyle w:val="BodyText"/>
        <w:ind w:left="118" w:right="125" w:firstLine="288"/>
        <w:jc w:val="both"/>
      </w:pPr>
      <w:r>
        <w:rPr/>
        <w:t>El presidente del tribunal colegiado pedirá informe al juez de distrito o tribunal unitario de circuito, que deberá rendirse en el plazo de veinticuatro horas, y resolverá dentro de las cuarenta y ocho horas siguientes.</w:t>
      </w:r>
    </w:p>
    <w:p>
      <w:pPr>
        <w:pStyle w:val="BodyText"/>
        <w:spacing w:before="9"/>
        <w:rPr>
          <w:sz w:val="11"/>
        </w:rPr>
      </w:pPr>
    </w:p>
    <w:p>
      <w:pPr>
        <w:pStyle w:val="Heading1"/>
        <w:spacing w:line="252" w:lineRule="exact" w:before="94"/>
      </w:pPr>
      <w:r>
        <w:rPr/>
        <w:t>CAPÍTULO VI</w:t>
      </w:r>
    </w:p>
    <w:p>
      <w:pPr>
        <w:spacing w:line="252" w:lineRule="exact" w:before="0"/>
        <w:ind w:left="606" w:right="605" w:firstLine="0"/>
        <w:jc w:val="center"/>
        <w:rPr>
          <w:b/>
          <w:sz w:val="22"/>
        </w:rPr>
      </w:pPr>
      <w:r>
        <w:rPr>
          <w:b/>
          <w:sz w:val="22"/>
        </w:rPr>
        <w:t>Impedimentos, Excusas y Recusaciones</w:t>
      </w:r>
    </w:p>
    <w:p>
      <w:pPr>
        <w:pStyle w:val="BodyText"/>
        <w:spacing w:before="10"/>
        <w:rPr>
          <w:b/>
          <w:sz w:val="19"/>
        </w:rPr>
      </w:pPr>
    </w:p>
    <w:p>
      <w:pPr>
        <w:pStyle w:val="BodyText"/>
        <w:spacing w:line="242" w:lineRule="auto" w:before="1"/>
        <w:ind w:left="118" w:right="122" w:firstLine="288"/>
        <w:jc w:val="both"/>
      </w:pPr>
      <w:bookmarkStart w:name="Artículo_51" w:id="51"/>
      <w:bookmarkEnd w:id="51"/>
      <w:r>
        <w:rPr/>
      </w:r>
      <w:r>
        <w:rPr>
          <w:b/>
        </w:rPr>
        <w:t>Artículo 51. </w:t>
      </w:r>
      <w:r>
        <w:rPr/>
        <w:t>Los ministros de la Suprema Corte de Justicia de la Nación, los magistrados de circuito, los jueces de distrito, así como las autoridades que conozcan de los juicios de amparo, deberán excusarse cuando ocurra cualquiera de las siguientes causas de impedimento:</w:t>
      </w:r>
    </w:p>
    <w:p>
      <w:pPr>
        <w:pStyle w:val="BodyText"/>
        <w:spacing w:before="6"/>
        <w:rPr>
          <w:sz w:val="19"/>
        </w:rPr>
      </w:pPr>
    </w:p>
    <w:p>
      <w:pPr>
        <w:pStyle w:val="ListParagraph"/>
        <w:numPr>
          <w:ilvl w:val="0"/>
          <w:numId w:val="11"/>
        </w:numPr>
        <w:tabs>
          <w:tab w:pos="1026" w:val="left" w:leader="none"/>
        </w:tabs>
        <w:spacing w:line="240" w:lineRule="auto" w:before="0" w:after="0"/>
        <w:ind w:left="838" w:right="125" w:firstLine="0"/>
        <w:jc w:val="both"/>
        <w:rPr>
          <w:sz w:val="20"/>
        </w:rPr>
      </w:pPr>
      <w:r>
        <w:rPr>
          <w:sz w:val="20"/>
        </w:rPr>
        <w:t>Si son cónyuges o parientes de alguna de las partes, de sus abogados o representantes, en línea recta por consanguinidad o afinidad sin limitación de grado; en la colateral por consanguinidad dentro del cuarto grado, o en la colateral por afinidad dentro del</w:t>
      </w:r>
      <w:r>
        <w:rPr>
          <w:spacing w:val="-15"/>
          <w:sz w:val="20"/>
        </w:rPr>
        <w:t> </w:t>
      </w:r>
      <w:r>
        <w:rPr>
          <w:sz w:val="20"/>
        </w:rPr>
        <w:t>segundo;</w:t>
      </w:r>
    </w:p>
    <w:p>
      <w:pPr>
        <w:pStyle w:val="BodyText"/>
        <w:spacing w:before="11"/>
        <w:rPr>
          <w:sz w:val="19"/>
        </w:rPr>
      </w:pPr>
    </w:p>
    <w:p>
      <w:pPr>
        <w:pStyle w:val="ListParagraph"/>
        <w:numPr>
          <w:ilvl w:val="0"/>
          <w:numId w:val="11"/>
        </w:numPr>
        <w:tabs>
          <w:tab w:pos="1086" w:val="left" w:leader="none"/>
        </w:tabs>
        <w:spacing w:line="242" w:lineRule="auto" w:before="0" w:after="0"/>
        <w:ind w:left="838" w:right="123" w:firstLine="0"/>
        <w:jc w:val="both"/>
        <w:rPr>
          <w:sz w:val="20"/>
        </w:rPr>
      </w:pPr>
      <w:r>
        <w:rPr>
          <w:sz w:val="20"/>
        </w:rPr>
        <w:t>Si tienen interés personal en el asunto que haya motivado el acto reclamado o lo tienen su cónyuge o parientes en los grados expresados en la fracción</w:t>
      </w:r>
      <w:r>
        <w:rPr>
          <w:spacing w:val="-5"/>
          <w:sz w:val="20"/>
        </w:rPr>
        <w:t> </w:t>
      </w:r>
      <w:r>
        <w:rPr>
          <w:sz w:val="20"/>
        </w:rPr>
        <w:t>anterior;</w:t>
      </w:r>
    </w:p>
    <w:p>
      <w:pPr>
        <w:pStyle w:val="BodyText"/>
        <w:spacing w:before="6"/>
        <w:rPr>
          <w:sz w:val="19"/>
        </w:rPr>
      </w:pPr>
    </w:p>
    <w:p>
      <w:pPr>
        <w:pStyle w:val="ListParagraph"/>
        <w:numPr>
          <w:ilvl w:val="0"/>
          <w:numId w:val="11"/>
        </w:numPr>
        <w:tabs>
          <w:tab w:pos="1127" w:val="left" w:leader="none"/>
        </w:tabs>
        <w:spacing w:line="242" w:lineRule="auto" w:before="0" w:after="0"/>
        <w:ind w:left="838" w:right="124" w:firstLine="0"/>
        <w:jc w:val="both"/>
        <w:rPr>
          <w:sz w:val="20"/>
        </w:rPr>
      </w:pPr>
      <w:r>
        <w:rPr>
          <w:sz w:val="20"/>
        </w:rPr>
        <w:t>Si han sido abogados o apoderados de alguna de las partes en el asunto que haya motivado el acto reclamado o en el juicio de</w:t>
      </w:r>
      <w:r>
        <w:rPr>
          <w:spacing w:val="-5"/>
          <w:sz w:val="20"/>
        </w:rPr>
        <w:t> </w:t>
      </w:r>
      <w:r>
        <w:rPr>
          <w:sz w:val="20"/>
        </w:rPr>
        <w:t>amparo;</w:t>
      </w:r>
    </w:p>
    <w:p>
      <w:pPr>
        <w:pStyle w:val="BodyText"/>
        <w:spacing w:before="8"/>
        <w:rPr>
          <w:sz w:val="19"/>
        </w:rPr>
      </w:pPr>
    </w:p>
    <w:p>
      <w:pPr>
        <w:pStyle w:val="ListParagraph"/>
        <w:numPr>
          <w:ilvl w:val="0"/>
          <w:numId w:val="11"/>
        </w:numPr>
        <w:tabs>
          <w:tab w:pos="1144" w:val="left" w:leader="none"/>
        </w:tabs>
        <w:spacing w:line="240" w:lineRule="auto" w:before="0" w:after="0"/>
        <w:ind w:left="838" w:right="120" w:firstLine="0"/>
        <w:jc w:val="both"/>
        <w:rPr>
          <w:sz w:val="20"/>
        </w:rPr>
      </w:pPr>
      <w:r>
        <w:rPr>
          <w:sz w:val="20"/>
        </w:rPr>
        <w:t>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de</w:t>
      </w:r>
      <w:r>
        <w:rPr>
          <w:spacing w:val="-3"/>
          <w:sz w:val="20"/>
        </w:rPr>
        <w:t> </w:t>
      </w:r>
      <w:r>
        <w:rPr>
          <w:sz w:val="20"/>
        </w:rPr>
        <w:t>reclamación;</w:t>
      </w:r>
    </w:p>
    <w:p>
      <w:pPr>
        <w:pStyle w:val="BodyText"/>
        <w:spacing w:before="11"/>
        <w:rPr>
          <w:sz w:val="19"/>
        </w:rPr>
      </w:pPr>
    </w:p>
    <w:p>
      <w:pPr>
        <w:pStyle w:val="ListParagraph"/>
        <w:numPr>
          <w:ilvl w:val="0"/>
          <w:numId w:val="11"/>
        </w:numPr>
        <w:tabs>
          <w:tab w:pos="1082" w:val="left" w:leader="none"/>
        </w:tabs>
        <w:spacing w:line="240" w:lineRule="auto" w:before="0" w:after="0"/>
        <w:ind w:left="1081" w:right="0" w:hanging="244"/>
        <w:jc w:val="both"/>
        <w:rPr>
          <w:sz w:val="20"/>
        </w:rPr>
      </w:pPr>
      <w:r>
        <w:rPr>
          <w:sz w:val="20"/>
        </w:rPr>
        <w:t>Si hubieren aconsejado como asesores la resolución</w:t>
      </w:r>
      <w:r>
        <w:rPr>
          <w:spacing w:val="-4"/>
          <w:sz w:val="20"/>
        </w:rPr>
        <w:t> </w:t>
      </w:r>
      <w:r>
        <w:rPr>
          <w:sz w:val="20"/>
        </w:rPr>
        <w:t>reclamada;</w:t>
      </w:r>
    </w:p>
    <w:p>
      <w:pPr>
        <w:pStyle w:val="BodyText"/>
        <w:spacing w:before="1"/>
      </w:pPr>
    </w:p>
    <w:p>
      <w:pPr>
        <w:pStyle w:val="ListParagraph"/>
        <w:numPr>
          <w:ilvl w:val="0"/>
          <w:numId w:val="11"/>
        </w:numPr>
        <w:tabs>
          <w:tab w:pos="1139" w:val="left" w:leader="none"/>
        </w:tabs>
        <w:spacing w:line="240" w:lineRule="auto" w:before="1" w:after="0"/>
        <w:ind w:left="1138" w:right="0" w:hanging="301"/>
        <w:jc w:val="both"/>
        <w:rPr>
          <w:sz w:val="20"/>
        </w:rPr>
      </w:pPr>
      <w:r>
        <w:rPr>
          <w:sz w:val="20"/>
        </w:rPr>
        <w:t>Si figuran como partes en algún juicio de amparo semejante al de su</w:t>
      </w:r>
      <w:r>
        <w:rPr>
          <w:spacing w:val="-19"/>
          <w:sz w:val="20"/>
        </w:rPr>
        <w:t> </w:t>
      </w:r>
      <w:r>
        <w:rPr>
          <w:sz w:val="20"/>
        </w:rPr>
        <w:t>conocimiento;</w:t>
      </w:r>
    </w:p>
    <w:p>
      <w:pPr>
        <w:pStyle w:val="BodyText"/>
        <w:spacing w:before="9"/>
        <w:rPr>
          <w:sz w:val="19"/>
        </w:rPr>
      </w:pPr>
    </w:p>
    <w:p>
      <w:pPr>
        <w:pStyle w:val="ListParagraph"/>
        <w:numPr>
          <w:ilvl w:val="0"/>
          <w:numId w:val="11"/>
        </w:numPr>
        <w:tabs>
          <w:tab w:pos="1202" w:val="left" w:leader="none"/>
        </w:tabs>
        <w:spacing w:line="242" w:lineRule="auto" w:before="1" w:after="0"/>
        <w:ind w:left="838" w:right="117" w:firstLine="0"/>
        <w:jc w:val="both"/>
        <w:rPr>
          <w:sz w:val="20"/>
        </w:rPr>
      </w:pPr>
      <w:r>
        <w:rPr>
          <w:sz w:val="20"/>
        </w:rPr>
        <w:t>Si tuvieren amistad estrecha o enemistad manifiesta con alguna de las partes, sus abogados o representantes;</w:t>
      </w:r>
      <w:r>
        <w:rPr>
          <w:spacing w:val="-1"/>
          <w:sz w:val="20"/>
        </w:rPr>
        <w:t> </w:t>
      </w:r>
      <w:r>
        <w:rPr>
          <w:sz w:val="20"/>
        </w:rPr>
        <w:t>y</w:t>
      </w:r>
    </w:p>
    <w:p>
      <w:pPr>
        <w:pStyle w:val="BodyText"/>
        <w:spacing w:before="8"/>
        <w:rPr>
          <w:sz w:val="19"/>
        </w:rPr>
      </w:pPr>
    </w:p>
    <w:p>
      <w:pPr>
        <w:pStyle w:val="ListParagraph"/>
        <w:numPr>
          <w:ilvl w:val="0"/>
          <w:numId w:val="11"/>
        </w:numPr>
        <w:tabs>
          <w:tab w:pos="1286" w:val="left" w:leader="none"/>
        </w:tabs>
        <w:spacing w:line="242" w:lineRule="auto" w:before="0" w:after="0"/>
        <w:ind w:left="838" w:right="121" w:firstLine="0"/>
        <w:jc w:val="both"/>
        <w:rPr>
          <w:sz w:val="20"/>
        </w:rPr>
      </w:pPr>
      <w:r>
        <w:rPr>
          <w:sz w:val="20"/>
        </w:rPr>
        <w:t>Si se encuentran en una situación diversa a las especificadas que implicaran elementos objetivos de los que pudiera derivarse el riesgo de pérdida de</w:t>
      </w:r>
      <w:r>
        <w:rPr>
          <w:spacing w:val="-8"/>
          <w:sz w:val="20"/>
        </w:rPr>
        <w:t> </w:t>
      </w:r>
      <w:r>
        <w:rPr>
          <w:sz w:val="20"/>
        </w:rPr>
        <w:t>imparcialidad.</w:t>
      </w:r>
    </w:p>
    <w:p>
      <w:pPr>
        <w:spacing w:after="0" w:line="242" w:lineRule="auto"/>
        <w:jc w:val="both"/>
        <w:rPr>
          <w:sz w:val="20"/>
        </w:rPr>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17" w:firstLine="288"/>
        <w:jc w:val="both"/>
      </w:pPr>
      <w:bookmarkStart w:name="Artículo_52" w:id="52"/>
      <w:bookmarkEnd w:id="52"/>
      <w:r>
        <w:rPr/>
      </w:r>
      <w:r>
        <w:rPr>
          <w:b/>
        </w:rPr>
        <w:t>Artículo 52. </w:t>
      </w:r>
      <w:r>
        <w:rPr/>
        <w:t>Sólo podrán invocarse como excusas las causas de impedimento que enumera el artículo anterior.</w:t>
      </w:r>
    </w:p>
    <w:p>
      <w:pPr>
        <w:pStyle w:val="BodyText"/>
        <w:spacing w:before="10"/>
        <w:rPr>
          <w:sz w:val="19"/>
        </w:rPr>
      </w:pPr>
    </w:p>
    <w:p>
      <w:pPr>
        <w:pStyle w:val="BodyText"/>
        <w:spacing w:before="1"/>
        <w:ind w:left="406"/>
      </w:pPr>
      <w:r>
        <w:rPr/>
        <w:t>Las partes podrán plantear como causa de recusación cualquiera de tales impedimentos.</w:t>
      </w:r>
    </w:p>
    <w:p>
      <w:pPr>
        <w:pStyle w:val="BodyText"/>
        <w:spacing w:before="7"/>
        <w:rPr>
          <w:sz w:val="19"/>
        </w:rPr>
      </w:pPr>
    </w:p>
    <w:p>
      <w:pPr>
        <w:pStyle w:val="BodyText"/>
        <w:spacing w:line="242" w:lineRule="auto"/>
        <w:ind w:left="118" w:right="124" w:firstLine="288"/>
        <w:jc w:val="both"/>
      </w:pPr>
      <w:bookmarkStart w:name="Artículo_53" w:id="53"/>
      <w:bookmarkEnd w:id="53"/>
      <w:r>
        <w:rPr/>
      </w:r>
      <w:r>
        <w:rPr>
          <w:b/>
        </w:rPr>
        <w:t>Artículo 53. </w:t>
      </w:r>
      <w:r>
        <w:rPr/>
        <w:t>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pPr>
        <w:pStyle w:val="BodyText"/>
        <w:spacing w:before="4"/>
        <w:rPr>
          <w:sz w:val="19"/>
        </w:rPr>
      </w:pPr>
    </w:p>
    <w:p>
      <w:pPr>
        <w:spacing w:before="0"/>
        <w:ind w:left="406" w:right="0" w:firstLine="0"/>
        <w:jc w:val="left"/>
        <w:rPr>
          <w:sz w:val="20"/>
        </w:rPr>
      </w:pPr>
      <w:bookmarkStart w:name="Artículo_54" w:id="54"/>
      <w:bookmarkEnd w:id="54"/>
      <w:r>
        <w:rPr/>
      </w:r>
      <w:r>
        <w:rPr>
          <w:b/>
          <w:sz w:val="20"/>
        </w:rPr>
        <w:t>Artículo 54. </w:t>
      </w:r>
      <w:r>
        <w:rPr>
          <w:sz w:val="20"/>
        </w:rPr>
        <w:t>Conocerán de las excusas y recusaciones:</w:t>
      </w:r>
    </w:p>
    <w:p>
      <w:pPr>
        <w:pStyle w:val="BodyText"/>
        <w:spacing w:before="1"/>
      </w:pPr>
    </w:p>
    <w:p>
      <w:pPr>
        <w:pStyle w:val="ListParagraph"/>
        <w:numPr>
          <w:ilvl w:val="0"/>
          <w:numId w:val="12"/>
        </w:numPr>
        <w:tabs>
          <w:tab w:pos="1005" w:val="left" w:leader="none"/>
        </w:tabs>
        <w:spacing w:line="240" w:lineRule="auto" w:before="0" w:after="0"/>
        <w:ind w:left="1004" w:right="0" w:hanging="167"/>
        <w:jc w:val="left"/>
        <w:rPr>
          <w:sz w:val="20"/>
        </w:rPr>
      </w:pPr>
      <w:r>
        <w:rPr>
          <w:sz w:val="20"/>
        </w:rPr>
        <w:t>El pleno de la Suprema Corte de Justicia de la Nación en los asuntos de su</w:t>
      </w:r>
      <w:r>
        <w:rPr>
          <w:spacing w:val="-18"/>
          <w:sz w:val="20"/>
        </w:rPr>
        <w:t> </w:t>
      </w:r>
      <w:r>
        <w:rPr>
          <w:sz w:val="20"/>
        </w:rPr>
        <w:t>competencia;</w:t>
      </w:r>
    </w:p>
    <w:p>
      <w:pPr>
        <w:pStyle w:val="BodyText"/>
        <w:spacing w:before="1"/>
      </w:pPr>
    </w:p>
    <w:p>
      <w:pPr>
        <w:pStyle w:val="ListParagraph"/>
        <w:numPr>
          <w:ilvl w:val="0"/>
          <w:numId w:val="12"/>
        </w:numPr>
        <w:tabs>
          <w:tab w:pos="1079" w:val="left" w:leader="none"/>
        </w:tabs>
        <w:spacing w:line="242" w:lineRule="auto" w:before="0" w:after="0"/>
        <w:ind w:left="838" w:right="124" w:firstLine="0"/>
        <w:jc w:val="left"/>
        <w:rPr>
          <w:sz w:val="20"/>
        </w:rPr>
      </w:pPr>
      <w:r>
        <w:rPr>
          <w:sz w:val="20"/>
        </w:rPr>
        <w:t>La sala correspondiente de la Suprema Corte de Justicia de la Nación, en los asuntos de su competencia, así como en el supuesto del artículo 56 de esta Ley;</w:t>
      </w:r>
      <w:r>
        <w:rPr>
          <w:spacing w:val="-3"/>
          <w:sz w:val="20"/>
        </w:rPr>
        <w:t> </w:t>
      </w:r>
      <w:r>
        <w:rPr>
          <w:sz w:val="20"/>
        </w:rPr>
        <w:t>y</w:t>
      </w:r>
    </w:p>
    <w:p>
      <w:pPr>
        <w:pStyle w:val="BodyText"/>
        <w:spacing w:before="6"/>
        <w:rPr>
          <w:sz w:val="19"/>
        </w:rPr>
      </w:pPr>
    </w:p>
    <w:p>
      <w:pPr>
        <w:pStyle w:val="ListParagraph"/>
        <w:numPr>
          <w:ilvl w:val="0"/>
          <w:numId w:val="12"/>
        </w:numPr>
        <w:tabs>
          <w:tab w:pos="1115" w:val="left" w:leader="none"/>
        </w:tabs>
        <w:spacing w:line="240" w:lineRule="auto" w:before="0" w:after="0"/>
        <w:ind w:left="1114" w:right="0" w:hanging="277"/>
        <w:jc w:val="left"/>
        <w:rPr>
          <w:sz w:val="20"/>
        </w:rPr>
      </w:pPr>
      <w:r>
        <w:rPr>
          <w:sz w:val="20"/>
        </w:rPr>
        <w:t>Los tribunales colegiados de</w:t>
      </w:r>
      <w:r>
        <w:rPr>
          <w:spacing w:val="-2"/>
          <w:sz w:val="20"/>
        </w:rPr>
        <w:t> </w:t>
      </w:r>
      <w:r>
        <w:rPr>
          <w:sz w:val="20"/>
        </w:rPr>
        <w:t>circuito:</w:t>
      </w:r>
    </w:p>
    <w:p>
      <w:pPr>
        <w:pStyle w:val="BodyText"/>
        <w:spacing w:before="1"/>
      </w:pPr>
    </w:p>
    <w:p>
      <w:pPr>
        <w:pStyle w:val="ListParagraph"/>
        <w:numPr>
          <w:ilvl w:val="1"/>
          <w:numId w:val="12"/>
        </w:numPr>
        <w:tabs>
          <w:tab w:pos="1343" w:val="left" w:leader="none"/>
        </w:tabs>
        <w:spacing w:line="240" w:lineRule="auto" w:before="0" w:after="0"/>
        <w:ind w:left="1342" w:right="0" w:hanging="233"/>
        <w:jc w:val="left"/>
        <w:rPr>
          <w:sz w:val="20"/>
        </w:rPr>
      </w:pPr>
      <w:r>
        <w:rPr>
          <w:sz w:val="20"/>
        </w:rPr>
        <w:t>De uno de sus</w:t>
      </w:r>
      <w:r>
        <w:rPr>
          <w:spacing w:val="-4"/>
          <w:sz w:val="20"/>
        </w:rPr>
        <w:t> </w:t>
      </w:r>
      <w:r>
        <w:rPr>
          <w:sz w:val="20"/>
        </w:rPr>
        <w:t>magistrados;</w:t>
      </w:r>
    </w:p>
    <w:p>
      <w:pPr>
        <w:pStyle w:val="BodyText"/>
        <w:spacing w:before="1"/>
      </w:pPr>
    </w:p>
    <w:p>
      <w:pPr>
        <w:pStyle w:val="ListParagraph"/>
        <w:numPr>
          <w:ilvl w:val="1"/>
          <w:numId w:val="12"/>
        </w:numPr>
        <w:tabs>
          <w:tab w:pos="1355" w:val="left" w:leader="none"/>
        </w:tabs>
        <w:spacing w:line="240" w:lineRule="auto" w:before="0" w:after="0"/>
        <w:ind w:left="1354" w:right="0" w:hanging="245"/>
        <w:jc w:val="left"/>
        <w:rPr>
          <w:sz w:val="20"/>
        </w:rPr>
      </w:pPr>
      <w:r>
        <w:rPr>
          <w:sz w:val="20"/>
        </w:rPr>
        <w:t>De dos o más magistrados de otro tribunal colegiado de</w:t>
      </w:r>
      <w:r>
        <w:rPr>
          <w:spacing w:val="-12"/>
          <w:sz w:val="20"/>
        </w:rPr>
        <w:t> </w:t>
      </w:r>
      <w:r>
        <w:rPr>
          <w:sz w:val="20"/>
        </w:rPr>
        <w:t>circuito;</w:t>
      </w:r>
    </w:p>
    <w:p>
      <w:pPr>
        <w:pStyle w:val="BodyText"/>
        <w:spacing w:before="9"/>
        <w:rPr>
          <w:sz w:val="19"/>
        </w:rPr>
      </w:pPr>
    </w:p>
    <w:p>
      <w:pPr>
        <w:pStyle w:val="ListParagraph"/>
        <w:numPr>
          <w:ilvl w:val="1"/>
          <w:numId w:val="12"/>
        </w:numPr>
        <w:tabs>
          <w:tab w:pos="1365" w:val="left" w:leader="none"/>
        </w:tabs>
        <w:spacing w:line="242" w:lineRule="auto" w:before="1" w:after="0"/>
        <w:ind w:left="1110" w:right="123" w:firstLine="0"/>
        <w:jc w:val="left"/>
        <w:rPr>
          <w:sz w:val="20"/>
        </w:rPr>
      </w:pPr>
      <w:r>
        <w:rPr>
          <w:sz w:val="20"/>
        </w:rPr>
        <w:t>De los jueces de distrito, los titulares de los tribunales unitarios y demás autoridades que conozcan de los juicios de amparo, que se encuentren en su</w:t>
      </w:r>
      <w:r>
        <w:rPr>
          <w:spacing w:val="-2"/>
          <w:sz w:val="20"/>
        </w:rPr>
        <w:t> </w:t>
      </w:r>
      <w:r>
        <w:rPr>
          <w:sz w:val="20"/>
        </w:rPr>
        <w:t>circuito.</w:t>
      </w:r>
    </w:p>
    <w:p>
      <w:pPr>
        <w:pStyle w:val="BodyText"/>
        <w:spacing w:before="8"/>
        <w:rPr>
          <w:sz w:val="19"/>
        </w:rPr>
      </w:pPr>
    </w:p>
    <w:p>
      <w:pPr>
        <w:pStyle w:val="BodyText"/>
        <w:spacing w:line="242" w:lineRule="auto"/>
        <w:ind w:left="118" w:right="128" w:firstLine="288"/>
        <w:jc w:val="both"/>
      </w:pPr>
      <w:bookmarkStart w:name="Artículo_55" w:id="55"/>
      <w:bookmarkEnd w:id="55"/>
      <w:r>
        <w:rPr/>
      </w:r>
      <w:r>
        <w:rPr>
          <w:b/>
        </w:rPr>
        <w:t>Artículo 55. </w:t>
      </w:r>
      <w:r>
        <w:rPr/>
        <w:t>Los ministros de la Suprema Corte de Justicia de la Nación manifestarán estar impedidos ante el tribunal pleno o ante la sala que conozca del asunto de que se trate.</w:t>
      </w:r>
    </w:p>
    <w:p>
      <w:pPr>
        <w:pStyle w:val="BodyText"/>
        <w:spacing w:before="8"/>
        <w:rPr>
          <w:sz w:val="19"/>
        </w:rPr>
      </w:pPr>
    </w:p>
    <w:p>
      <w:pPr>
        <w:pStyle w:val="BodyText"/>
        <w:ind w:left="118" w:right="118" w:firstLine="288"/>
        <w:jc w:val="both"/>
      </w:pPr>
      <w:r>
        <w:rPr/>
        <w:t>Los magistrados de circuito y los jueces de distrito manifestarán su impedimento y lo comunicarán al tribunal colegiado de circuito que corresponda.</w:t>
      </w:r>
    </w:p>
    <w:p>
      <w:pPr>
        <w:pStyle w:val="BodyText"/>
        <w:spacing w:before="1"/>
      </w:pPr>
    </w:p>
    <w:p>
      <w:pPr>
        <w:pStyle w:val="BodyText"/>
        <w:spacing w:before="1"/>
        <w:ind w:left="406"/>
      </w:pPr>
      <w:r>
        <w:rPr/>
        <w:t>Las excusas se calificarán de plano.</w:t>
      </w:r>
    </w:p>
    <w:p>
      <w:pPr>
        <w:pStyle w:val="BodyText"/>
        <w:spacing w:before="7"/>
        <w:rPr>
          <w:sz w:val="19"/>
        </w:rPr>
      </w:pPr>
    </w:p>
    <w:p>
      <w:pPr>
        <w:pStyle w:val="BodyText"/>
        <w:spacing w:line="242" w:lineRule="auto"/>
        <w:ind w:left="118" w:right="122" w:firstLine="288"/>
        <w:jc w:val="both"/>
      </w:pPr>
      <w:bookmarkStart w:name="Artículo_56" w:id="56"/>
      <w:bookmarkEnd w:id="56"/>
      <w:r>
        <w:rPr/>
      </w:r>
      <w:r>
        <w:rPr>
          <w:b/>
        </w:rPr>
        <w:t>Artículo 56. </w:t>
      </w:r>
      <w:r>
        <w:rPr/>
        <w:t>Cuando uno de los ministros se manifieste impedido en asuntos del conocimiento del pleno o sala, los restantes calificarán la excusa. Si la admiten, éstos continuarán en el conocimiento del asunto; en caso de empate, quien presida tendrá voto de calidad.</w:t>
      </w:r>
    </w:p>
    <w:p>
      <w:pPr>
        <w:pStyle w:val="BodyText"/>
        <w:spacing w:before="9"/>
        <w:rPr>
          <w:sz w:val="19"/>
        </w:rPr>
      </w:pPr>
    </w:p>
    <w:p>
      <w:pPr>
        <w:pStyle w:val="BodyText"/>
        <w:ind w:left="118" w:right="128" w:firstLine="288"/>
        <w:jc w:val="both"/>
      </w:pPr>
      <w:r>
        <w:rP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pPr>
        <w:pStyle w:val="BodyText"/>
        <w:spacing w:before="8"/>
        <w:rPr>
          <w:sz w:val="19"/>
        </w:rPr>
      </w:pPr>
    </w:p>
    <w:p>
      <w:pPr>
        <w:pStyle w:val="BodyText"/>
        <w:spacing w:line="242" w:lineRule="auto"/>
        <w:ind w:left="118" w:right="118" w:firstLine="288"/>
        <w:jc w:val="both"/>
      </w:pPr>
      <w:bookmarkStart w:name="Artículo_57" w:id="57"/>
      <w:bookmarkEnd w:id="57"/>
      <w:r>
        <w:rPr/>
      </w:r>
      <w:r>
        <w:rPr>
          <w:b/>
        </w:rPr>
        <w:t>Artículo 57. </w:t>
      </w:r>
      <w:r>
        <w:rPr/>
        <w:t>Cuando uno de los integrantes de un tribunal colegiado de circuito se excuse o sea recusado, los restantes resolverán lo conducente.</w:t>
      </w:r>
    </w:p>
    <w:p>
      <w:pPr>
        <w:pStyle w:val="BodyText"/>
        <w:spacing w:before="9"/>
        <w:rPr>
          <w:sz w:val="19"/>
        </w:rPr>
      </w:pPr>
    </w:p>
    <w:p>
      <w:pPr>
        <w:pStyle w:val="BodyText"/>
        <w:ind w:left="118" w:right="127" w:firstLine="288"/>
        <w:jc w:val="both"/>
      </w:pPr>
      <w:r>
        <w:rPr/>
        <w:t>En caso de empate, la resolución corresponderá al tribunal colegiado de circuito siguiente en orden del mismo circuito y especialidad y, de no haberlos, al del circuito más</w:t>
      </w:r>
      <w:r>
        <w:rPr>
          <w:spacing w:val="-3"/>
        </w:rPr>
        <w:t> </w:t>
      </w:r>
      <w:r>
        <w:rPr/>
        <w:t>cercano.</w:t>
      </w:r>
    </w:p>
    <w:p>
      <w:pPr>
        <w:pStyle w:val="BodyText"/>
        <w:spacing w:before="1"/>
      </w:pPr>
    </w:p>
    <w:p>
      <w:pPr>
        <w:pStyle w:val="BodyText"/>
        <w:ind w:left="118" w:right="124" w:firstLine="288"/>
        <w:jc w:val="both"/>
      </w:pPr>
      <w:r>
        <w:rPr/>
        <w:t>Cuando la excusa o recusación se refiera a más de un magistrado, la resolución se hará en términos del párrafo anterior.</w:t>
      </w:r>
    </w:p>
    <w:p>
      <w:pPr>
        <w:pStyle w:val="BodyText"/>
        <w:spacing w:before="10"/>
        <w:rPr>
          <w:sz w:val="19"/>
        </w:rPr>
      </w:pPr>
    </w:p>
    <w:p>
      <w:pPr>
        <w:pStyle w:val="BodyText"/>
        <w:spacing w:before="1"/>
        <w:ind w:left="118" w:right="125" w:firstLine="288"/>
        <w:jc w:val="both"/>
      </w:pPr>
      <w:r>
        <w:rP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pPr>
        <w:spacing w:after="0"/>
        <w:jc w:val="both"/>
        <w:sectPr>
          <w:pgSz w:w="12240" w:h="15840"/>
          <w:pgMar w:header="708" w:footer="712" w:top="1760" w:bottom="900" w:left="1300" w:right="1300"/>
        </w:sectPr>
      </w:pPr>
    </w:p>
    <w:p>
      <w:pPr>
        <w:pStyle w:val="BodyText"/>
      </w:pPr>
    </w:p>
    <w:p>
      <w:pPr>
        <w:pStyle w:val="BodyText"/>
        <w:spacing w:before="6"/>
        <w:rPr>
          <w:sz w:val="27"/>
        </w:rPr>
      </w:pPr>
    </w:p>
    <w:p>
      <w:pPr>
        <w:pStyle w:val="BodyText"/>
        <w:spacing w:line="242" w:lineRule="auto" w:before="92"/>
        <w:ind w:left="118" w:right="123" w:firstLine="288"/>
        <w:jc w:val="both"/>
      </w:pPr>
      <w:bookmarkStart w:name="Artículo_58" w:id="58"/>
      <w:bookmarkEnd w:id="58"/>
      <w:r>
        <w:rPr/>
      </w:r>
      <w:r>
        <w:rPr>
          <w:b/>
        </w:rPr>
        <w:t>Artículo 58. </w:t>
      </w:r>
      <w:r>
        <w:rPr/>
        <w:t>Cuando se declare impedido a un juez de distrito o magistrado de tribunal unitario de circuito, conocerá del asunto otro del mismo distrito o circuito, según corresponda y, en su caso, especialización; en su defecto, conocerá el más próximo perteneciente al mismo circuito.</w:t>
      </w:r>
    </w:p>
    <w:p>
      <w:pPr>
        <w:pStyle w:val="BodyText"/>
        <w:spacing w:before="4"/>
        <w:rPr>
          <w:sz w:val="19"/>
        </w:rPr>
      </w:pPr>
    </w:p>
    <w:p>
      <w:pPr>
        <w:pStyle w:val="BodyText"/>
        <w:ind w:left="118" w:right="120" w:firstLine="288"/>
        <w:jc w:val="both"/>
      </w:pPr>
      <w:bookmarkStart w:name="Artículo_59" w:id="59"/>
      <w:bookmarkEnd w:id="59"/>
      <w:r>
        <w:rPr/>
      </w:r>
      <w:r>
        <w:rPr>
          <w:b/>
        </w:rPr>
        <w:t>Artículo 59. </w:t>
      </w:r>
      <w:r>
        <w:rPr/>
        <w:t>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su exhibición.</w:t>
      </w:r>
    </w:p>
    <w:p>
      <w:pPr>
        <w:pStyle w:val="BodyText"/>
        <w:spacing w:before="1"/>
      </w:pPr>
    </w:p>
    <w:p>
      <w:pPr>
        <w:pStyle w:val="BodyText"/>
        <w:spacing w:line="242" w:lineRule="auto"/>
        <w:ind w:left="118" w:right="123" w:firstLine="288"/>
        <w:jc w:val="both"/>
      </w:pPr>
      <w:bookmarkStart w:name="Artículo_60" w:id="60"/>
      <w:bookmarkEnd w:id="60"/>
      <w:r>
        <w:rPr/>
      </w:r>
      <w:r>
        <w:rPr>
          <w:b/>
        </w:rPr>
        <w:t>Artículo 60. </w:t>
      </w:r>
      <w:r>
        <w:rPr/>
        <w:t>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w:t>
      </w:r>
      <w:r>
        <w:rPr>
          <w:spacing w:val="-21"/>
        </w:rPr>
        <w:t> </w:t>
      </w:r>
      <w:r>
        <w:rPr/>
        <w:t>notificación.</w:t>
      </w:r>
    </w:p>
    <w:p>
      <w:pPr>
        <w:pStyle w:val="BodyText"/>
        <w:spacing w:before="7"/>
        <w:rPr>
          <w:sz w:val="19"/>
        </w:rPr>
      </w:pPr>
    </w:p>
    <w:p>
      <w:pPr>
        <w:pStyle w:val="BodyText"/>
        <w:ind w:left="118" w:right="126" w:firstLine="288"/>
        <w:jc w:val="both"/>
      </w:pPr>
      <w:r>
        <w:rPr/>
        <w:t>Si el servidor público admite la causa de recusación, se declarará fundada; si la negare, se señalará día y hora para que dentro de los tres días siguientes se celebre la audiencia en la que se ofrecerán, admitirán y desahogarán las pruebas de las partes y se dictará resolución.</w:t>
      </w:r>
    </w:p>
    <w:p>
      <w:pPr>
        <w:pStyle w:val="BodyText"/>
        <w:spacing w:before="1"/>
      </w:pPr>
    </w:p>
    <w:p>
      <w:pPr>
        <w:pStyle w:val="BodyText"/>
        <w:ind w:left="118" w:right="127" w:firstLine="288"/>
        <w:jc w:val="both"/>
      </w:pPr>
      <w:r>
        <w:rPr/>
        <w:t>En caso de no rendirse el informe a que se refiere el párrafo primero, se declarará fundada la causa de recusación, en cuyo caso se devolverá al promovente la garantía</w:t>
      </w:r>
      <w:r>
        <w:rPr>
          <w:spacing w:val="-8"/>
        </w:rPr>
        <w:t> </w:t>
      </w:r>
      <w:r>
        <w:rPr/>
        <w:t>exhibida.</w:t>
      </w:r>
    </w:p>
    <w:p>
      <w:pPr>
        <w:pStyle w:val="BodyText"/>
        <w:spacing w:before="11"/>
        <w:rPr>
          <w:sz w:val="19"/>
        </w:rPr>
      </w:pPr>
    </w:p>
    <w:p>
      <w:pPr>
        <w:pStyle w:val="BodyText"/>
        <w:ind w:left="406"/>
      </w:pPr>
      <w:r>
        <w:rPr/>
        <w:t>Si se declara infundada la recusación el servidor público seguirá conociendo del asunto.</w:t>
      </w:r>
    </w:p>
    <w:p>
      <w:pPr>
        <w:pStyle w:val="BodyText"/>
      </w:pPr>
    </w:p>
    <w:p>
      <w:pPr>
        <w:pStyle w:val="BodyText"/>
        <w:spacing w:before="1"/>
        <w:ind w:left="118" w:right="126" w:firstLine="288"/>
        <w:jc w:val="both"/>
      </w:pPr>
      <w:r>
        <w:rPr/>
        <w:t>Si el órgano que deba calificar la recusación la hubiere negado y ésta se comprobase, quedará sujeto a la responsabilidad que corresponda conforme a esta Ley.</w:t>
      </w:r>
    </w:p>
    <w:p>
      <w:pPr>
        <w:pStyle w:val="BodyText"/>
        <w:spacing w:before="8"/>
        <w:rPr>
          <w:sz w:val="19"/>
        </w:rPr>
      </w:pPr>
    </w:p>
    <w:p>
      <w:pPr>
        <w:pStyle w:val="Heading1"/>
        <w:ind w:left="607"/>
      </w:pPr>
      <w:r>
        <w:rPr/>
        <w:t>CAPÍTULO VII</w:t>
      </w:r>
    </w:p>
    <w:p>
      <w:pPr>
        <w:spacing w:before="2"/>
        <w:ind w:left="607" w:right="605" w:firstLine="0"/>
        <w:jc w:val="center"/>
        <w:rPr>
          <w:b/>
          <w:sz w:val="22"/>
        </w:rPr>
      </w:pPr>
      <w:r>
        <w:rPr>
          <w:b/>
          <w:sz w:val="22"/>
        </w:rPr>
        <w:t>Improcedencia</w:t>
      </w:r>
    </w:p>
    <w:p>
      <w:pPr>
        <w:pStyle w:val="BodyText"/>
        <w:spacing w:before="10"/>
        <w:rPr>
          <w:b/>
          <w:sz w:val="19"/>
        </w:rPr>
      </w:pPr>
    </w:p>
    <w:p>
      <w:pPr>
        <w:spacing w:before="0"/>
        <w:ind w:left="406" w:right="0" w:firstLine="0"/>
        <w:jc w:val="left"/>
        <w:rPr>
          <w:sz w:val="20"/>
        </w:rPr>
      </w:pPr>
      <w:bookmarkStart w:name="Artículo_61" w:id="61"/>
      <w:bookmarkEnd w:id="61"/>
      <w:r>
        <w:rPr/>
      </w:r>
      <w:r>
        <w:rPr>
          <w:b/>
          <w:sz w:val="20"/>
        </w:rPr>
        <w:t>Artículo 61. </w:t>
      </w:r>
      <w:r>
        <w:rPr>
          <w:sz w:val="20"/>
        </w:rPr>
        <w:t>El juicio de amparo es improcedente:</w:t>
      </w:r>
    </w:p>
    <w:p>
      <w:pPr>
        <w:pStyle w:val="BodyText"/>
        <w:spacing w:before="10"/>
        <w:rPr>
          <w:sz w:val="19"/>
        </w:rPr>
      </w:pPr>
    </w:p>
    <w:p>
      <w:pPr>
        <w:pStyle w:val="ListParagraph"/>
        <w:numPr>
          <w:ilvl w:val="0"/>
          <w:numId w:val="13"/>
        </w:numPr>
        <w:tabs>
          <w:tab w:pos="1005" w:val="left" w:leader="none"/>
        </w:tabs>
        <w:spacing w:line="240" w:lineRule="auto" w:before="0" w:after="0"/>
        <w:ind w:left="1004" w:right="0" w:hanging="167"/>
        <w:jc w:val="left"/>
        <w:rPr>
          <w:sz w:val="20"/>
        </w:rPr>
      </w:pPr>
      <w:r>
        <w:rPr>
          <w:sz w:val="20"/>
        </w:rPr>
        <w:t>Contra adiciones o reformas a la Constitución Política de los Estados Unidos</w:t>
      </w:r>
      <w:r>
        <w:rPr>
          <w:spacing w:val="-13"/>
          <w:sz w:val="20"/>
        </w:rPr>
        <w:t> </w:t>
      </w:r>
      <w:r>
        <w:rPr>
          <w:sz w:val="20"/>
        </w:rPr>
        <w:t>Mexicanos;</w:t>
      </w:r>
    </w:p>
    <w:p>
      <w:pPr>
        <w:pStyle w:val="BodyText"/>
        <w:spacing w:before="1"/>
      </w:pPr>
    </w:p>
    <w:p>
      <w:pPr>
        <w:pStyle w:val="ListParagraph"/>
        <w:numPr>
          <w:ilvl w:val="0"/>
          <w:numId w:val="13"/>
        </w:numPr>
        <w:tabs>
          <w:tab w:pos="1060" w:val="left" w:leader="none"/>
        </w:tabs>
        <w:spacing w:line="240" w:lineRule="auto" w:before="0" w:after="0"/>
        <w:ind w:left="1059" w:right="0" w:hanging="222"/>
        <w:jc w:val="left"/>
        <w:rPr>
          <w:sz w:val="20"/>
        </w:rPr>
      </w:pPr>
      <w:r>
        <w:rPr>
          <w:sz w:val="20"/>
        </w:rPr>
        <w:t>Contra actos de la Suprema Corte de Justicia de la Nación;</w:t>
      </w:r>
    </w:p>
    <w:p>
      <w:pPr>
        <w:pStyle w:val="BodyText"/>
        <w:spacing w:before="1"/>
      </w:pPr>
    </w:p>
    <w:p>
      <w:pPr>
        <w:pStyle w:val="ListParagraph"/>
        <w:numPr>
          <w:ilvl w:val="0"/>
          <w:numId w:val="13"/>
        </w:numPr>
        <w:tabs>
          <w:tab w:pos="1115" w:val="left" w:leader="none"/>
        </w:tabs>
        <w:spacing w:line="240" w:lineRule="auto" w:before="0" w:after="0"/>
        <w:ind w:left="1114" w:right="0" w:hanging="277"/>
        <w:jc w:val="left"/>
        <w:rPr>
          <w:sz w:val="20"/>
        </w:rPr>
      </w:pPr>
      <w:r>
        <w:rPr>
          <w:sz w:val="20"/>
        </w:rPr>
        <w:t>Contra actos del Consejo de la Judicatura</w:t>
      </w:r>
      <w:r>
        <w:rPr>
          <w:spacing w:val="-7"/>
          <w:sz w:val="20"/>
        </w:rPr>
        <w:t> </w:t>
      </w:r>
      <w:r>
        <w:rPr>
          <w:sz w:val="20"/>
        </w:rPr>
        <w:t>Federal;</w:t>
      </w:r>
    </w:p>
    <w:p>
      <w:pPr>
        <w:pStyle w:val="BodyText"/>
        <w:spacing w:before="10"/>
        <w:rPr>
          <w:sz w:val="19"/>
        </w:rPr>
      </w:pPr>
    </w:p>
    <w:p>
      <w:pPr>
        <w:pStyle w:val="ListParagraph"/>
        <w:numPr>
          <w:ilvl w:val="0"/>
          <w:numId w:val="13"/>
        </w:numPr>
        <w:tabs>
          <w:tab w:pos="1137" w:val="left" w:leader="none"/>
        </w:tabs>
        <w:spacing w:line="240" w:lineRule="auto" w:before="0" w:after="0"/>
        <w:ind w:left="1136" w:right="0" w:hanging="299"/>
        <w:jc w:val="left"/>
        <w:rPr>
          <w:sz w:val="20"/>
        </w:rPr>
      </w:pPr>
      <w:r>
        <w:rPr>
          <w:sz w:val="20"/>
        </w:rPr>
        <w:t>Contra resoluciones dictadas por el Tribunal Electoral del Poder Judicial de la</w:t>
      </w:r>
      <w:r>
        <w:rPr>
          <w:spacing w:val="-21"/>
          <w:sz w:val="20"/>
        </w:rPr>
        <w:t> </w:t>
      </w:r>
      <w:r>
        <w:rPr>
          <w:sz w:val="20"/>
        </w:rPr>
        <w:t>Federación;</w:t>
      </w:r>
    </w:p>
    <w:p>
      <w:pPr>
        <w:pStyle w:val="BodyText"/>
        <w:spacing w:before="1"/>
      </w:pPr>
    </w:p>
    <w:p>
      <w:pPr>
        <w:pStyle w:val="ListParagraph"/>
        <w:numPr>
          <w:ilvl w:val="0"/>
          <w:numId w:val="13"/>
        </w:numPr>
        <w:tabs>
          <w:tab w:pos="1084" w:val="left" w:leader="none"/>
        </w:tabs>
        <w:spacing w:line="240" w:lineRule="auto" w:before="0" w:after="0"/>
        <w:ind w:left="838" w:right="119" w:firstLine="0"/>
        <w:jc w:val="both"/>
        <w:rPr>
          <w:sz w:val="20"/>
        </w:rPr>
      </w:pPr>
      <w:r>
        <w:rPr>
          <w:sz w:val="20"/>
        </w:rPr>
        <w:t>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w:t>
      </w:r>
      <w:r>
        <w:rPr>
          <w:spacing w:val="-10"/>
          <w:sz w:val="20"/>
        </w:rPr>
        <w:t> </w:t>
      </w:r>
      <w:r>
        <w:rPr>
          <w:sz w:val="20"/>
        </w:rPr>
        <w:t>naturaleza;</w:t>
      </w:r>
    </w:p>
    <w:p>
      <w:pPr>
        <w:pStyle w:val="BodyText"/>
      </w:pPr>
    </w:p>
    <w:p>
      <w:pPr>
        <w:pStyle w:val="ListParagraph"/>
        <w:numPr>
          <w:ilvl w:val="0"/>
          <w:numId w:val="13"/>
        </w:numPr>
        <w:tabs>
          <w:tab w:pos="1137" w:val="left" w:leader="none"/>
        </w:tabs>
        <w:spacing w:line="240" w:lineRule="auto" w:before="0" w:after="0"/>
        <w:ind w:left="1136" w:right="0" w:hanging="299"/>
        <w:jc w:val="left"/>
        <w:rPr>
          <w:sz w:val="20"/>
        </w:rPr>
      </w:pPr>
      <w:r>
        <w:rPr>
          <w:sz w:val="20"/>
        </w:rPr>
        <w:t>Contra resoluciones de los tribunales colegiados de</w:t>
      </w:r>
      <w:r>
        <w:rPr>
          <w:spacing w:val="-3"/>
          <w:sz w:val="20"/>
        </w:rPr>
        <w:t> </w:t>
      </w:r>
      <w:r>
        <w:rPr>
          <w:sz w:val="20"/>
        </w:rPr>
        <w:t>circuito;</w:t>
      </w:r>
    </w:p>
    <w:p>
      <w:pPr>
        <w:pStyle w:val="BodyText"/>
        <w:spacing w:before="1"/>
      </w:pPr>
    </w:p>
    <w:p>
      <w:pPr>
        <w:pStyle w:val="ListParagraph"/>
        <w:numPr>
          <w:ilvl w:val="0"/>
          <w:numId w:val="13"/>
        </w:numPr>
        <w:tabs>
          <w:tab w:pos="1235" w:val="left" w:leader="none"/>
        </w:tabs>
        <w:spacing w:line="240" w:lineRule="auto" w:before="0" w:after="0"/>
        <w:ind w:left="838" w:right="117" w:firstLine="0"/>
        <w:jc w:val="both"/>
        <w:rPr>
          <w:sz w:val="20"/>
        </w:rPr>
      </w:pPr>
      <w:r>
        <w:rPr>
          <w:sz w:val="20"/>
        </w:rPr>
        <w:t>Contra las resoluciones o declaraciones del Congreso Federal o de las Cámaras que lo constituyen, de las Legislaturas de los Estados o de sus respectivas Comisiones o Diputaciones Permanentes,</w:t>
      </w:r>
      <w:r>
        <w:rPr>
          <w:spacing w:val="23"/>
          <w:sz w:val="20"/>
        </w:rPr>
        <w:t> </w:t>
      </w:r>
      <w:r>
        <w:rPr>
          <w:sz w:val="20"/>
        </w:rPr>
        <w:t>en</w:t>
      </w:r>
      <w:r>
        <w:rPr>
          <w:spacing w:val="23"/>
          <w:sz w:val="20"/>
        </w:rPr>
        <w:t> </w:t>
      </w:r>
      <w:r>
        <w:rPr>
          <w:sz w:val="20"/>
        </w:rPr>
        <w:t>declaración</w:t>
      </w:r>
      <w:r>
        <w:rPr>
          <w:spacing w:val="23"/>
          <w:sz w:val="20"/>
        </w:rPr>
        <w:t> </w:t>
      </w:r>
      <w:r>
        <w:rPr>
          <w:sz w:val="20"/>
        </w:rPr>
        <w:t>de</w:t>
      </w:r>
      <w:r>
        <w:rPr>
          <w:spacing w:val="23"/>
          <w:sz w:val="20"/>
        </w:rPr>
        <w:t> </w:t>
      </w:r>
      <w:r>
        <w:rPr>
          <w:sz w:val="20"/>
        </w:rPr>
        <w:t>procedencia</w:t>
      </w:r>
      <w:r>
        <w:rPr>
          <w:spacing w:val="29"/>
          <w:sz w:val="20"/>
        </w:rPr>
        <w:t> </w:t>
      </w:r>
      <w:r>
        <w:rPr>
          <w:sz w:val="20"/>
        </w:rPr>
        <w:t>y</w:t>
      </w:r>
      <w:r>
        <w:rPr>
          <w:spacing w:val="19"/>
          <w:sz w:val="20"/>
        </w:rPr>
        <w:t> </w:t>
      </w:r>
      <w:r>
        <w:rPr>
          <w:sz w:val="20"/>
        </w:rPr>
        <w:t>en</w:t>
      </w:r>
      <w:r>
        <w:rPr>
          <w:spacing w:val="24"/>
          <w:sz w:val="20"/>
        </w:rPr>
        <w:t> </w:t>
      </w:r>
      <w:r>
        <w:rPr>
          <w:sz w:val="20"/>
        </w:rPr>
        <w:t>juicio</w:t>
      </w:r>
      <w:r>
        <w:rPr>
          <w:spacing w:val="25"/>
          <w:sz w:val="20"/>
        </w:rPr>
        <w:t> </w:t>
      </w:r>
      <w:r>
        <w:rPr>
          <w:sz w:val="20"/>
        </w:rPr>
        <w:t>político,</w:t>
      </w:r>
      <w:r>
        <w:rPr>
          <w:spacing w:val="23"/>
          <w:sz w:val="20"/>
        </w:rPr>
        <w:t> </w:t>
      </w:r>
      <w:r>
        <w:rPr>
          <w:sz w:val="20"/>
        </w:rPr>
        <w:t>así</w:t>
      </w:r>
      <w:r>
        <w:rPr>
          <w:spacing w:val="23"/>
          <w:sz w:val="20"/>
        </w:rPr>
        <w:t> </w:t>
      </w:r>
      <w:r>
        <w:rPr>
          <w:sz w:val="20"/>
        </w:rPr>
        <w:t>como</w:t>
      </w:r>
      <w:r>
        <w:rPr>
          <w:spacing w:val="23"/>
          <w:sz w:val="20"/>
        </w:rPr>
        <w:t> </w:t>
      </w:r>
      <w:r>
        <w:rPr>
          <w:sz w:val="20"/>
        </w:rPr>
        <w:t>en</w:t>
      </w:r>
      <w:r>
        <w:rPr>
          <w:spacing w:val="26"/>
          <w:sz w:val="20"/>
        </w:rPr>
        <w:t> </w:t>
      </w:r>
      <w:r>
        <w:rPr>
          <w:sz w:val="20"/>
        </w:rPr>
        <w:t>elección,</w:t>
      </w:r>
    </w:p>
    <w:p>
      <w:pPr>
        <w:spacing w:after="0" w:line="240" w:lineRule="auto"/>
        <w:jc w:val="both"/>
        <w:rPr>
          <w:sz w:val="20"/>
        </w:rPr>
        <w:sectPr>
          <w:pgSz w:w="12240" w:h="15840"/>
          <w:pgMar w:header="708" w:footer="712" w:top="1760" w:bottom="900" w:left="1300" w:right="1300"/>
        </w:sectPr>
      </w:pPr>
    </w:p>
    <w:p>
      <w:pPr>
        <w:pStyle w:val="BodyText"/>
        <w:spacing w:before="8"/>
        <w:rPr>
          <w:sz w:val="27"/>
        </w:rPr>
      </w:pPr>
    </w:p>
    <w:p>
      <w:pPr>
        <w:pStyle w:val="BodyText"/>
        <w:spacing w:before="92"/>
        <w:ind w:left="838" w:right="126"/>
        <w:jc w:val="both"/>
      </w:pPr>
      <w:r>
        <w:rPr/>
        <w:t>suspensión o remoción de funcionarios en los casos en que las Constituciones correspondientes les confieran la facultad de resolver soberana o discrecionalmente;</w:t>
      </w:r>
    </w:p>
    <w:p>
      <w:pPr>
        <w:pStyle w:val="BodyText"/>
        <w:spacing w:before="11"/>
        <w:rPr>
          <w:sz w:val="19"/>
        </w:rPr>
      </w:pPr>
    </w:p>
    <w:p>
      <w:pPr>
        <w:pStyle w:val="ListParagraph"/>
        <w:numPr>
          <w:ilvl w:val="0"/>
          <w:numId w:val="13"/>
        </w:numPr>
        <w:tabs>
          <w:tab w:pos="1262" w:val="left" w:leader="none"/>
        </w:tabs>
        <w:spacing w:line="240" w:lineRule="auto" w:before="0" w:after="0"/>
        <w:ind w:left="838" w:right="119" w:firstLine="0"/>
        <w:jc w:val="both"/>
        <w:rPr>
          <w:sz w:val="20"/>
        </w:rPr>
      </w:pPr>
      <w:r>
        <w:rPr>
          <w:sz w:val="20"/>
        </w:rPr>
        <w:t>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pPr>
        <w:pStyle w:val="BodyText"/>
        <w:spacing w:before="9"/>
        <w:rPr>
          <w:sz w:val="19"/>
        </w:rPr>
      </w:pPr>
    </w:p>
    <w:p>
      <w:pPr>
        <w:pStyle w:val="ListParagraph"/>
        <w:numPr>
          <w:ilvl w:val="0"/>
          <w:numId w:val="13"/>
        </w:numPr>
        <w:tabs>
          <w:tab w:pos="1137" w:val="left" w:leader="none"/>
        </w:tabs>
        <w:spacing w:line="240" w:lineRule="auto" w:before="0" w:after="0"/>
        <w:ind w:left="1136" w:right="0" w:hanging="299"/>
        <w:jc w:val="both"/>
        <w:rPr>
          <w:sz w:val="20"/>
        </w:rPr>
      </w:pPr>
      <w:r>
        <w:rPr>
          <w:sz w:val="20"/>
        </w:rPr>
        <w:t>Contra resoluciones dictadas en los juicios de amparo o en ejecución de las</w:t>
      </w:r>
      <w:r>
        <w:rPr>
          <w:spacing w:val="-9"/>
          <w:sz w:val="20"/>
        </w:rPr>
        <w:t> </w:t>
      </w:r>
      <w:r>
        <w:rPr>
          <w:sz w:val="20"/>
        </w:rPr>
        <w:t>mismas;</w:t>
      </w:r>
    </w:p>
    <w:p>
      <w:pPr>
        <w:pStyle w:val="BodyText"/>
        <w:spacing w:before="1"/>
      </w:pPr>
    </w:p>
    <w:p>
      <w:pPr>
        <w:pStyle w:val="ListParagraph"/>
        <w:numPr>
          <w:ilvl w:val="0"/>
          <w:numId w:val="13"/>
        </w:numPr>
        <w:tabs>
          <w:tab w:pos="1113" w:val="left" w:leader="none"/>
        </w:tabs>
        <w:spacing w:line="240" w:lineRule="auto" w:before="0" w:after="0"/>
        <w:ind w:left="838" w:right="114" w:firstLine="0"/>
        <w:jc w:val="both"/>
        <w:rPr>
          <w:sz w:val="20"/>
        </w:rPr>
      </w:pPr>
      <w:r>
        <w:rPr>
          <w:sz w:val="20"/>
        </w:rPr>
        <w:t>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w:t>
      </w:r>
      <w:r>
        <w:rPr>
          <w:spacing w:val="-4"/>
          <w:sz w:val="20"/>
        </w:rPr>
        <w:t> </w:t>
      </w:r>
      <w:r>
        <w:rPr>
          <w:sz w:val="20"/>
        </w:rPr>
        <w:t>propios;</w:t>
      </w:r>
    </w:p>
    <w:p>
      <w:pPr>
        <w:pStyle w:val="BodyText"/>
        <w:spacing w:before="2"/>
      </w:pPr>
    </w:p>
    <w:p>
      <w:pPr>
        <w:pStyle w:val="ListParagraph"/>
        <w:numPr>
          <w:ilvl w:val="0"/>
          <w:numId w:val="13"/>
        </w:numPr>
        <w:tabs>
          <w:tab w:pos="1151" w:val="left" w:leader="none"/>
        </w:tabs>
        <w:spacing w:line="240" w:lineRule="auto" w:before="0" w:after="0"/>
        <w:ind w:left="838" w:right="114" w:firstLine="0"/>
        <w:jc w:val="both"/>
        <w:rPr>
          <w:sz w:val="20"/>
        </w:rPr>
      </w:pPr>
      <w:r>
        <w:rPr>
          <w:sz w:val="20"/>
        </w:rPr>
        <w:t>Contra normas generales o actos que hayan sido materia de una ejecutoria en otro </w:t>
      </w:r>
      <w:r>
        <w:rPr>
          <w:spacing w:val="2"/>
          <w:sz w:val="20"/>
        </w:rPr>
        <w:t>juicio </w:t>
      </w:r>
      <w:r>
        <w:rPr>
          <w:sz w:val="20"/>
        </w:rPr>
        <w:t>de amparo, en los términos de la fracción</w:t>
      </w:r>
      <w:r>
        <w:rPr>
          <w:spacing w:val="-4"/>
          <w:sz w:val="20"/>
        </w:rPr>
        <w:t> </w:t>
      </w:r>
      <w:r>
        <w:rPr>
          <w:sz w:val="20"/>
        </w:rPr>
        <w:t>anterior;</w:t>
      </w:r>
    </w:p>
    <w:p>
      <w:pPr>
        <w:pStyle w:val="BodyText"/>
        <w:spacing w:before="10"/>
        <w:rPr>
          <w:sz w:val="19"/>
        </w:rPr>
      </w:pPr>
    </w:p>
    <w:p>
      <w:pPr>
        <w:pStyle w:val="ListParagraph"/>
        <w:numPr>
          <w:ilvl w:val="0"/>
          <w:numId w:val="13"/>
        </w:numPr>
        <w:tabs>
          <w:tab w:pos="1211" w:val="left" w:leader="none"/>
        </w:tabs>
        <w:spacing w:line="242" w:lineRule="auto" w:before="0" w:after="0"/>
        <w:ind w:left="838" w:right="123" w:firstLine="0"/>
        <w:jc w:val="both"/>
        <w:rPr>
          <w:sz w:val="20"/>
        </w:rPr>
      </w:pPr>
      <w:r>
        <w:rPr>
          <w:sz w:val="20"/>
        </w:rPr>
        <w:t>Contra actos que no afecten los intereses jurídicos o legítimos del quejoso, en los términos establecidos en la fracción I del artículo 5o de la presente Ley, y contra normas generales que requieran de un acto de aplicación posterior al inicio de su</w:t>
      </w:r>
      <w:r>
        <w:rPr>
          <w:spacing w:val="-8"/>
          <w:sz w:val="20"/>
        </w:rPr>
        <w:t> </w:t>
      </w:r>
      <w:r>
        <w:rPr>
          <w:sz w:val="20"/>
        </w:rPr>
        <w:t>vigencia;</w:t>
      </w:r>
    </w:p>
    <w:p>
      <w:pPr>
        <w:pStyle w:val="BodyText"/>
        <w:spacing w:before="4"/>
        <w:rPr>
          <w:sz w:val="19"/>
        </w:rPr>
      </w:pPr>
    </w:p>
    <w:p>
      <w:pPr>
        <w:pStyle w:val="ListParagraph"/>
        <w:numPr>
          <w:ilvl w:val="0"/>
          <w:numId w:val="13"/>
        </w:numPr>
        <w:tabs>
          <w:tab w:pos="1281" w:val="left" w:leader="none"/>
        </w:tabs>
        <w:spacing w:line="242" w:lineRule="auto" w:before="0" w:after="0"/>
        <w:ind w:left="838" w:right="122" w:firstLine="0"/>
        <w:jc w:val="both"/>
        <w:rPr>
          <w:sz w:val="20"/>
        </w:rPr>
      </w:pPr>
      <w:r>
        <w:rPr>
          <w:sz w:val="20"/>
        </w:rPr>
        <w:t>Contra actos consentidos expresamente o por manifestaciones de voluntad que entrañen ese</w:t>
      </w:r>
      <w:r>
        <w:rPr>
          <w:spacing w:val="-2"/>
          <w:sz w:val="20"/>
        </w:rPr>
        <w:t> </w:t>
      </w:r>
      <w:r>
        <w:rPr>
          <w:sz w:val="20"/>
        </w:rPr>
        <w:t>consentimiento;</w:t>
      </w:r>
    </w:p>
    <w:p>
      <w:pPr>
        <w:pStyle w:val="BodyText"/>
        <w:spacing w:before="8"/>
        <w:rPr>
          <w:sz w:val="19"/>
        </w:rPr>
      </w:pPr>
    </w:p>
    <w:p>
      <w:pPr>
        <w:pStyle w:val="ListParagraph"/>
        <w:numPr>
          <w:ilvl w:val="0"/>
          <w:numId w:val="13"/>
        </w:numPr>
        <w:tabs>
          <w:tab w:pos="1274" w:val="left" w:leader="none"/>
        </w:tabs>
        <w:spacing w:line="242" w:lineRule="auto" w:before="1" w:after="0"/>
        <w:ind w:left="838" w:right="117" w:firstLine="0"/>
        <w:jc w:val="both"/>
        <w:rPr>
          <w:sz w:val="20"/>
        </w:rPr>
      </w:pPr>
      <w:r>
        <w:rPr>
          <w:sz w:val="20"/>
        </w:rPr>
        <w:t>Contra normas generales o actos consentidos tácitamente, entendiéndose por tales aquéllos contra los que no se promueva el juicio de amparo dentro de los plazos</w:t>
      </w:r>
      <w:r>
        <w:rPr>
          <w:spacing w:val="-10"/>
          <w:sz w:val="20"/>
        </w:rPr>
        <w:t> </w:t>
      </w:r>
      <w:r>
        <w:rPr>
          <w:sz w:val="20"/>
        </w:rPr>
        <w:t>previstos.</w:t>
      </w:r>
    </w:p>
    <w:p>
      <w:pPr>
        <w:pStyle w:val="BodyText"/>
        <w:spacing w:before="8"/>
        <w:rPr>
          <w:sz w:val="19"/>
        </w:rPr>
      </w:pPr>
    </w:p>
    <w:p>
      <w:pPr>
        <w:pStyle w:val="BodyText"/>
        <w:ind w:left="838" w:right="120"/>
        <w:jc w:val="both"/>
      </w:pPr>
      <w:r>
        <w:rP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pPr>
        <w:pStyle w:val="BodyText"/>
        <w:spacing w:before="11"/>
        <w:rPr>
          <w:sz w:val="19"/>
        </w:rPr>
      </w:pPr>
    </w:p>
    <w:p>
      <w:pPr>
        <w:pStyle w:val="BodyText"/>
        <w:ind w:left="838" w:right="119"/>
        <w:jc w:val="both"/>
      </w:pPr>
      <w:r>
        <w:rP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pPr>
        <w:pStyle w:val="BodyText"/>
        <w:spacing w:before="2"/>
      </w:pPr>
    </w:p>
    <w:p>
      <w:pPr>
        <w:pStyle w:val="BodyText"/>
        <w:ind w:left="838" w:right="113"/>
        <w:jc w:val="both"/>
      </w:pPr>
      <w:r>
        <w:rPr/>
        <w:t>Si en contra de dicha resolución procede amparo directo, deberá estarse a lo dispuesto en el capítulo respectivo a ese procedimiento;</w:t>
      </w:r>
    </w:p>
    <w:p>
      <w:pPr>
        <w:pStyle w:val="BodyText"/>
        <w:spacing w:before="8"/>
        <w:rPr>
          <w:sz w:val="19"/>
        </w:rPr>
      </w:pPr>
    </w:p>
    <w:p>
      <w:pPr>
        <w:pStyle w:val="ListParagraph"/>
        <w:numPr>
          <w:ilvl w:val="0"/>
          <w:numId w:val="13"/>
        </w:numPr>
        <w:tabs>
          <w:tab w:pos="1216" w:val="left" w:leader="none"/>
        </w:tabs>
        <w:spacing w:line="240" w:lineRule="auto" w:before="0" w:after="0"/>
        <w:ind w:left="1215" w:right="0" w:hanging="378"/>
        <w:jc w:val="both"/>
        <w:rPr>
          <w:sz w:val="20"/>
        </w:rPr>
      </w:pPr>
      <w:r>
        <w:rPr>
          <w:sz w:val="20"/>
        </w:rPr>
        <w:t>Contra las resoluciones o declaraciones de las autoridades competentes en materia</w:t>
      </w:r>
      <w:r>
        <w:rPr>
          <w:spacing w:val="-22"/>
          <w:sz w:val="20"/>
        </w:rPr>
        <w:t> </w:t>
      </w:r>
      <w:r>
        <w:rPr>
          <w:sz w:val="20"/>
        </w:rPr>
        <w:t>electoral;</w:t>
      </w:r>
    </w:p>
    <w:p>
      <w:pPr>
        <w:spacing w:after="0" w:line="240" w:lineRule="auto"/>
        <w:jc w:val="both"/>
        <w:rPr>
          <w:sz w:val="20"/>
        </w:rPr>
        <w:sectPr>
          <w:pgSz w:w="12240" w:h="15840"/>
          <w:pgMar w:header="708" w:footer="712" w:top="1760" w:bottom="900" w:left="1300" w:right="1300"/>
        </w:sectPr>
      </w:pPr>
    </w:p>
    <w:p>
      <w:pPr>
        <w:pStyle w:val="BodyText"/>
        <w:spacing w:before="5"/>
        <w:rPr>
          <w:sz w:val="27"/>
        </w:rPr>
      </w:pPr>
    </w:p>
    <w:p>
      <w:pPr>
        <w:pStyle w:val="ListParagraph"/>
        <w:numPr>
          <w:ilvl w:val="0"/>
          <w:numId w:val="13"/>
        </w:numPr>
        <w:tabs>
          <w:tab w:pos="1271" w:val="left" w:leader="none"/>
        </w:tabs>
        <w:spacing w:line="240" w:lineRule="auto" w:before="93" w:after="0"/>
        <w:ind w:left="1270" w:right="0" w:hanging="433"/>
        <w:jc w:val="both"/>
        <w:rPr>
          <w:sz w:val="20"/>
        </w:rPr>
      </w:pPr>
      <w:r>
        <w:rPr>
          <w:sz w:val="20"/>
        </w:rPr>
        <w:t>Contra actos consumados de modo</w:t>
      </w:r>
      <w:r>
        <w:rPr>
          <w:spacing w:val="-2"/>
          <w:sz w:val="20"/>
        </w:rPr>
        <w:t> </w:t>
      </w:r>
      <w:r>
        <w:rPr>
          <w:sz w:val="20"/>
        </w:rPr>
        <w:t>irreparable;</w:t>
      </w:r>
    </w:p>
    <w:p>
      <w:pPr>
        <w:pStyle w:val="BodyText"/>
        <w:spacing w:before="1"/>
      </w:pPr>
    </w:p>
    <w:p>
      <w:pPr>
        <w:pStyle w:val="ListParagraph"/>
        <w:numPr>
          <w:ilvl w:val="0"/>
          <w:numId w:val="13"/>
        </w:numPr>
        <w:tabs>
          <w:tab w:pos="1346" w:val="left" w:leader="none"/>
        </w:tabs>
        <w:spacing w:line="240" w:lineRule="auto" w:before="0" w:after="0"/>
        <w:ind w:left="838" w:right="118" w:firstLine="0"/>
        <w:jc w:val="both"/>
        <w:rPr>
          <w:sz w:val="20"/>
        </w:rPr>
      </w:pPr>
      <w:r>
        <w:rPr>
          <w:sz w:val="20"/>
        </w:rPr>
        <w:t>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w:t>
      </w:r>
      <w:r>
        <w:rPr>
          <w:spacing w:val="-21"/>
          <w:sz w:val="20"/>
        </w:rPr>
        <w:t> </w:t>
      </w:r>
      <w:r>
        <w:rPr>
          <w:sz w:val="20"/>
        </w:rPr>
        <w:t>jurídica.</w:t>
      </w:r>
    </w:p>
    <w:p>
      <w:pPr>
        <w:pStyle w:val="BodyText"/>
        <w:spacing w:before="2"/>
      </w:pPr>
    </w:p>
    <w:p>
      <w:pPr>
        <w:pStyle w:val="BodyText"/>
        <w:ind w:left="838" w:right="117"/>
        <w:jc w:val="both"/>
      </w:pPr>
      <w:r>
        <w:rP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pPr>
        <w:pStyle w:val="BodyText"/>
        <w:spacing w:before="8"/>
        <w:rPr>
          <w:sz w:val="19"/>
        </w:rPr>
      </w:pPr>
    </w:p>
    <w:p>
      <w:pPr>
        <w:pStyle w:val="ListParagraph"/>
        <w:numPr>
          <w:ilvl w:val="0"/>
          <w:numId w:val="13"/>
        </w:numPr>
        <w:tabs>
          <w:tab w:pos="1401" w:val="left" w:leader="none"/>
        </w:tabs>
        <w:spacing w:line="242" w:lineRule="auto" w:before="0" w:after="0"/>
        <w:ind w:left="838" w:right="121" w:firstLine="0"/>
        <w:jc w:val="both"/>
        <w:rPr>
          <w:sz w:val="20"/>
        </w:rPr>
      </w:pPr>
      <w:r>
        <w:rPr>
          <w:sz w:val="20"/>
        </w:rPr>
        <w:t>Contra las resoluciones de tribunales judiciales, administrativos o del trabajo, respecto de las cuales conceda la ley ordinaria algún recurso o medio de defensa, dentro del procedimiento, por virtud del cual puedan ser modificadas, revocadas o</w:t>
      </w:r>
      <w:r>
        <w:rPr>
          <w:spacing w:val="-10"/>
          <w:sz w:val="20"/>
        </w:rPr>
        <w:t> </w:t>
      </w:r>
      <w:r>
        <w:rPr>
          <w:sz w:val="20"/>
        </w:rPr>
        <w:t>nulificadas.</w:t>
      </w:r>
    </w:p>
    <w:p>
      <w:pPr>
        <w:pStyle w:val="BodyText"/>
        <w:spacing w:before="9"/>
        <w:rPr>
          <w:sz w:val="19"/>
        </w:rPr>
      </w:pPr>
    </w:p>
    <w:p>
      <w:pPr>
        <w:pStyle w:val="BodyText"/>
        <w:ind w:left="838"/>
        <w:jc w:val="both"/>
      </w:pPr>
      <w:r>
        <w:rPr/>
        <w:t>Se exceptúa de lo anterior:</w:t>
      </w:r>
    </w:p>
    <w:p>
      <w:pPr>
        <w:pStyle w:val="BodyText"/>
        <w:spacing w:before="7"/>
        <w:rPr>
          <w:sz w:val="19"/>
        </w:rPr>
      </w:pPr>
    </w:p>
    <w:p>
      <w:pPr>
        <w:pStyle w:val="ListParagraph"/>
        <w:numPr>
          <w:ilvl w:val="1"/>
          <w:numId w:val="13"/>
        </w:numPr>
        <w:tabs>
          <w:tab w:pos="1468" w:val="left" w:leader="none"/>
        </w:tabs>
        <w:spacing w:line="240" w:lineRule="auto" w:before="0" w:after="0"/>
        <w:ind w:left="1198" w:right="111" w:firstLine="0"/>
        <w:jc w:val="both"/>
        <w:rPr>
          <w:sz w:val="20"/>
        </w:rPr>
      </w:pPr>
      <w:r>
        <w:rPr>
          <w:sz w:val="20"/>
        </w:rPr>
        <w:t>Cuando sean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w:t>
      </w:r>
      <w:r>
        <w:rPr>
          <w:spacing w:val="3"/>
          <w:sz w:val="20"/>
        </w:rPr>
        <w:t>como </w:t>
      </w:r>
      <w:r>
        <w:rPr>
          <w:sz w:val="20"/>
        </w:rPr>
        <w:t>la incorporación forzosa al Ejército, Armada o Fuerza Aérea</w:t>
      </w:r>
      <w:r>
        <w:rPr>
          <w:spacing w:val="-7"/>
          <w:sz w:val="20"/>
        </w:rPr>
        <w:t> </w:t>
      </w:r>
      <w:r>
        <w:rPr>
          <w:sz w:val="20"/>
        </w:rPr>
        <w:t>nacionales;</w:t>
      </w:r>
    </w:p>
    <w:p>
      <w:pPr>
        <w:pStyle w:val="BodyText"/>
      </w:pPr>
    </w:p>
    <w:p>
      <w:pPr>
        <w:pStyle w:val="ListParagraph"/>
        <w:numPr>
          <w:ilvl w:val="1"/>
          <w:numId w:val="13"/>
        </w:numPr>
        <w:tabs>
          <w:tab w:pos="1475" w:val="left" w:leader="none"/>
        </w:tabs>
        <w:spacing w:line="240" w:lineRule="auto" w:before="1" w:after="0"/>
        <w:ind w:left="1198" w:right="115" w:firstLine="0"/>
        <w:jc w:val="both"/>
        <w:rPr>
          <w:sz w:val="20"/>
        </w:rPr>
      </w:pPr>
      <w:r>
        <w:rPr>
          <w:sz w:val="20"/>
        </w:rPr>
        <w:t>Cuando el acto reclamado consista en órdenes de aprehensión o reaprehensión, autos que establezcan providencias precautorias o impongan medidas cautelares restrictivas de la libertad,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w:t>
      </w:r>
      <w:r>
        <w:rPr>
          <w:spacing w:val="-6"/>
          <w:sz w:val="20"/>
        </w:rPr>
        <w:t> </w:t>
      </w:r>
      <w:r>
        <w:rPr>
          <w:sz w:val="20"/>
        </w:rPr>
        <w:t>penal;</w:t>
      </w:r>
    </w:p>
    <w:p>
      <w:pPr>
        <w:spacing w:before="0"/>
        <w:ind w:left="0" w:right="113" w:firstLine="0"/>
        <w:jc w:val="right"/>
        <w:rPr>
          <w:rFonts w:ascii="Times New Roman"/>
          <w:i/>
          <w:sz w:val="16"/>
        </w:rPr>
      </w:pPr>
      <w:r>
        <w:rPr>
          <w:rFonts w:ascii="Times New Roman"/>
          <w:i/>
          <w:color w:val="0000FF"/>
          <w:sz w:val="16"/>
        </w:rPr>
        <w:t>Inciso reformado DOF 17-06-2016</w:t>
      </w:r>
    </w:p>
    <w:p>
      <w:pPr>
        <w:pStyle w:val="BodyText"/>
        <w:rPr>
          <w:rFonts w:ascii="Times New Roman"/>
          <w:i/>
          <w:sz w:val="12"/>
        </w:rPr>
      </w:pPr>
    </w:p>
    <w:p>
      <w:pPr>
        <w:pStyle w:val="ListParagraph"/>
        <w:numPr>
          <w:ilvl w:val="1"/>
          <w:numId w:val="13"/>
        </w:numPr>
        <w:tabs>
          <w:tab w:pos="1432" w:val="left" w:leader="none"/>
        </w:tabs>
        <w:spacing w:line="240" w:lineRule="auto" w:before="93" w:after="0"/>
        <w:ind w:left="1431" w:right="0" w:hanging="234"/>
        <w:jc w:val="left"/>
        <w:rPr>
          <w:sz w:val="20"/>
        </w:rPr>
      </w:pPr>
      <w:r>
        <w:rPr>
          <w:sz w:val="20"/>
        </w:rPr>
        <w:t>Cuando se trate de persona extraña al</w:t>
      </w:r>
      <w:r>
        <w:rPr>
          <w:spacing w:val="2"/>
          <w:sz w:val="20"/>
        </w:rPr>
        <w:t> </w:t>
      </w:r>
      <w:r>
        <w:rPr>
          <w:sz w:val="20"/>
        </w:rPr>
        <w:t>procedimiento.</w:t>
      </w:r>
    </w:p>
    <w:p>
      <w:pPr>
        <w:pStyle w:val="BodyText"/>
        <w:spacing w:before="9"/>
        <w:rPr>
          <w:sz w:val="11"/>
        </w:rPr>
      </w:pPr>
    </w:p>
    <w:p>
      <w:pPr>
        <w:spacing w:after="0"/>
        <w:rPr>
          <w:sz w:val="11"/>
        </w:rPr>
        <w:sectPr>
          <w:pgSz w:w="12240" w:h="15840"/>
          <w:pgMar w:header="708" w:footer="712" w:top="1760" w:bottom="900" w:left="1300" w:right="1300"/>
        </w:sectPr>
      </w:pPr>
    </w:p>
    <w:p>
      <w:pPr>
        <w:pStyle w:val="ListParagraph"/>
        <w:numPr>
          <w:ilvl w:val="1"/>
          <w:numId w:val="13"/>
        </w:numPr>
        <w:tabs>
          <w:tab w:pos="1444" w:val="left" w:leader="none"/>
        </w:tabs>
        <w:spacing w:line="240" w:lineRule="auto" w:before="93" w:after="0"/>
        <w:ind w:left="1443" w:right="0" w:hanging="246"/>
        <w:jc w:val="left"/>
        <w:rPr>
          <w:sz w:val="20"/>
        </w:rPr>
      </w:pPr>
      <w:r>
        <w:rPr>
          <w:sz w:val="20"/>
        </w:rPr>
        <w:t>Cuando se trate del auto de vinculación a</w:t>
      </w:r>
      <w:r>
        <w:rPr>
          <w:spacing w:val="-18"/>
          <w:sz w:val="20"/>
        </w:rPr>
        <w:t> </w:t>
      </w:r>
      <w:r>
        <w:rPr>
          <w:sz w:val="20"/>
        </w:rPr>
        <w:t>proceso.</w:t>
      </w:r>
    </w:p>
    <w:p>
      <w:pPr>
        <w:pStyle w:val="BodyText"/>
        <w:rPr>
          <w:sz w:val="18"/>
        </w:rPr>
      </w:pPr>
      <w:r>
        <w:rPr/>
        <w:br w:type="column"/>
      </w:r>
      <w:r>
        <w:rPr>
          <w:sz w:val="18"/>
        </w:rPr>
      </w:r>
    </w:p>
    <w:p>
      <w:pPr>
        <w:spacing w:before="116"/>
        <w:ind w:left="1198" w:right="0" w:firstLine="0"/>
        <w:jc w:val="left"/>
        <w:rPr>
          <w:rFonts w:ascii="Times New Roman"/>
          <w:i/>
          <w:sz w:val="16"/>
        </w:rPr>
      </w:pPr>
      <w:r>
        <w:rPr>
          <w:rFonts w:ascii="Times New Roman"/>
          <w:i/>
          <w:color w:val="0000FF"/>
          <w:sz w:val="16"/>
        </w:rPr>
        <w:t>Inciso adicionado DOF 17-06-2016</w:t>
      </w:r>
    </w:p>
    <w:p>
      <w:pPr>
        <w:spacing w:after="0"/>
        <w:jc w:val="left"/>
        <w:rPr>
          <w:rFonts w:ascii="Times New Roman"/>
          <w:sz w:val="16"/>
        </w:rPr>
        <w:sectPr>
          <w:type w:val="continuous"/>
          <w:pgSz w:w="12240" w:h="15840"/>
          <w:pgMar w:top="1760" w:bottom="900" w:left="1300" w:right="1300"/>
          <w:cols w:num="2" w:equalWidth="0">
            <w:col w:w="5943" w:space="75"/>
            <w:col w:w="3622"/>
          </w:cols>
        </w:sectPr>
      </w:pPr>
    </w:p>
    <w:p>
      <w:pPr>
        <w:pStyle w:val="BodyText"/>
        <w:spacing w:before="3"/>
        <w:rPr>
          <w:rFonts w:ascii="Times New Roman"/>
          <w:i/>
          <w:sz w:val="12"/>
        </w:rPr>
      </w:pPr>
    </w:p>
    <w:p>
      <w:pPr>
        <w:pStyle w:val="BodyText"/>
        <w:spacing w:before="93"/>
        <w:ind w:left="838" w:right="125"/>
        <w:jc w:val="both"/>
      </w:pPr>
      <w:r>
        <w:rPr/>
        <w:t>Cuando la procedencia del recurso o medio de defensa se sujete a interpretación adicional o su fundamento legal sea insuficiente para determinarla, el quejoso quedará en libertad de interponer dicho recurso o acudir al juicio de amparo;</w:t>
      </w:r>
    </w:p>
    <w:p>
      <w:pPr>
        <w:pStyle w:val="BodyText"/>
        <w:spacing w:before="9"/>
        <w:rPr>
          <w:sz w:val="19"/>
        </w:rPr>
      </w:pPr>
    </w:p>
    <w:p>
      <w:pPr>
        <w:pStyle w:val="ListParagraph"/>
        <w:numPr>
          <w:ilvl w:val="0"/>
          <w:numId w:val="13"/>
        </w:numPr>
        <w:tabs>
          <w:tab w:pos="1281" w:val="left" w:leader="none"/>
        </w:tabs>
        <w:spacing w:line="242" w:lineRule="auto" w:before="0" w:after="0"/>
        <w:ind w:left="838" w:right="118" w:firstLine="0"/>
        <w:jc w:val="both"/>
        <w:rPr>
          <w:sz w:val="20"/>
        </w:rPr>
      </w:pPr>
      <w:r>
        <w:rPr>
          <w:sz w:val="20"/>
        </w:rPr>
        <w:t>Cuando se esté tramitando ante los tribunales ordinarios algún recurso o medio de defensa legal propuesto por el quejoso que pueda tener por efecto modificar, revocar o nulificar el acto reclamado;</w:t>
      </w:r>
    </w:p>
    <w:p>
      <w:pPr>
        <w:pStyle w:val="BodyText"/>
        <w:spacing w:before="4"/>
        <w:rPr>
          <w:sz w:val="19"/>
        </w:rPr>
      </w:pPr>
    </w:p>
    <w:p>
      <w:pPr>
        <w:pStyle w:val="ListParagraph"/>
        <w:numPr>
          <w:ilvl w:val="0"/>
          <w:numId w:val="13"/>
        </w:numPr>
        <w:tabs>
          <w:tab w:pos="1271" w:val="left" w:leader="none"/>
        </w:tabs>
        <w:spacing w:line="240" w:lineRule="auto" w:before="0" w:after="0"/>
        <w:ind w:left="838" w:right="116" w:firstLine="0"/>
        <w:jc w:val="both"/>
        <w:rPr>
          <w:sz w:val="20"/>
        </w:rPr>
      </w:pPr>
      <w:r>
        <w:rPr>
          <w:sz w:val="20"/>
        </w:rPr>
        <w:t>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w:t>
      </w:r>
      <w:r>
        <w:rPr>
          <w:spacing w:val="12"/>
          <w:sz w:val="20"/>
        </w:rPr>
        <w:t> </w:t>
      </w:r>
      <w:r>
        <w:rPr>
          <w:sz w:val="20"/>
        </w:rPr>
        <w:t>que</w:t>
      </w:r>
    </w:p>
    <w:p>
      <w:pPr>
        <w:spacing w:after="0" w:line="240" w:lineRule="auto"/>
        <w:jc w:val="both"/>
        <w:rPr>
          <w:sz w:val="20"/>
        </w:rPr>
        <w:sectPr>
          <w:type w:val="continuous"/>
          <w:pgSz w:w="12240" w:h="15840"/>
          <w:pgMar w:top="1760" w:bottom="900" w:left="1300" w:right="1300"/>
        </w:sectPr>
      </w:pPr>
    </w:p>
    <w:p>
      <w:pPr>
        <w:pStyle w:val="BodyText"/>
        <w:spacing w:before="8"/>
        <w:rPr>
          <w:sz w:val="27"/>
        </w:rPr>
      </w:pPr>
    </w:p>
    <w:p>
      <w:pPr>
        <w:pStyle w:val="BodyText"/>
        <w:spacing w:before="92"/>
        <w:ind w:left="838" w:right="114"/>
        <w:jc w:val="both"/>
      </w:pPr>
      <w:r>
        <w:rPr/>
        <w:t>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w:t>
      </w:r>
      <w:r>
        <w:rPr>
          <w:spacing w:val="-2"/>
        </w:rPr>
        <w:t> </w:t>
      </w:r>
      <w:r>
        <w:rPr/>
        <w:t>Ley.</w:t>
      </w:r>
    </w:p>
    <w:p>
      <w:pPr>
        <w:pStyle w:val="BodyText"/>
      </w:pPr>
    </w:p>
    <w:p>
      <w:pPr>
        <w:pStyle w:val="BodyText"/>
        <w:spacing w:before="1"/>
        <w:ind w:left="838" w:right="120"/>
        <w:jc w:val="both"/>
      </w:pPr>
      <w:r>
        <w:rP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w:t>
      </w:r>
      <w:r>
        <w:rPr>
          <w:spacing w:val="-3"/>
        </w:rPr>
        <w:t> </w:t>
      </w:r>
      <w:r>
        <w:rPr/>
        <w:t>existencia.</w:t>
      </w:r>
    </w:p>
    <w:p>
      <w:pPr>
        <w:pStyle w:val="BodyText"/>
        <w:spacing w:before="11"/>
        <w:rPr>
          <w:sz w:val="19"/>
        </w:rPr>
      </w:pPr>
    </w:p>
    <w:p>
      <w:pPr>
        <w:pStyle w:val="BodyText"/>
        <w:ind w:left="838" w:right="123"/>
        <w:jc w:val="both"/>
      </w:pPr>
      <w:r>
        <w:rPr/>
        <w:t>Si en el informe justificado la autoridad responsable señala la fundamentación y motivación del acto reclamado, operará la excepción al principio de definitividad contenida en el párrafo anterior;</w:t>
      </w:r>
    </w:p>
    <w:p>
      <w:pPr>
        <w:pStyle w:val="BodyText"/>
        <w:spacing w:before="11"/>
        <w:rPr>
          <w:sz w:val="19"/>
        </w:rPr>
      </w:pPr>
    </w:p>
    <w:p>
      <w:pPr>
        <w:pStyle w:val="ListParagraph"/>
        <w:numPr>
          <w:ilvl w:val="0"/>
          <w:numId w:val="13"/>
        </w:numPr>
        <w:tabs>
          <w:tab w:pos="1271" w:val="left" w:leader="none"/>
        </w:tabs>
        <w:spacing w:line="240" w:lineRule="auto" w:before="0" w:after="0"/>
        <w:ind w:left="1270" w:right="0" w:hanging="433"/>
        <w:jc w:val="left"/>
        <w:rPr>
          <w:sz w:val="20"/>
        </w:rPr>
      </w:pPr>
      <w:r>
        <w:rPr>
          <w:sz w:val="20"/>
        </w:rPr>
        <w:t>Cuando hayan cesado los efectos del acto</w:t>
      </w:r>
      <w:r>
        <w:rPr>
          <w:spacing w:val="-6"/>
          <w:sz w:val="20"/>
        </w:rPr>
        <w:t> </w:t>
      </w:r>
      <w:r>
        <w:rPr>
          <w:sz w:val="20"/>
        </w:rPr>
        <w:t>reclamado;</w:t>
      </w:r>
    </w:p>
    <w:p>
      <w:pPr>
        <w:pStyle w:val="BodyText"/>
        <w:spacing w:before="9"/>
        <w:rPr>
          <w:sz w:val="19"/>
        </w:rPr>
      </w:pPr>
    </w:p>
    <w:p>
      <w:pPr>
        <w:pStyle w:val="ListParagraph"/>
        <w:numPr>
          <w:ilvl w:val="0"/>
          <w:numId w:val="13"/>
        </w:numPr>
        <w:tabs>
          <w:tab w:pos="1341" w:val="left" w:leader="none"/>
        </w:tabs>
        <w:spacing w:line="242" w:lineRule="auto" w:before="1" w:after="0"/>
        <w:ind w:left="838" w:right="123" w:firstLine="0"/>
        <w:jc w:val="left"/>
        <w:rPr>
          <w:sz w:val="20"/>
        </w:rPr>
      </w:pPr>
      <w:r>
        <w:rPr>
          <w:sz w:val="20"/>
        </w:rPr>
        <w:t>Cuando subsista el acto reclamado pero no pueda surtir efecto legal o material alguno por haber dejado de existir el objeto o la materia del mismo; y</w:t>
      </w:r>
    </w:p>
    <w:p>
      <w:pPr>
        <w:pStyle w:val="BodyText"/>
        <w:spacing w:before="8"/>
        <w:rPr>
          <w:sz w:val="19"/>
        </w:rPr>
      </w:pPr>
    </w:p>
    <w:p>
      <w:pPr>
        <w:pStyle w:val="ListParagraph"/>
        <w:numPr>
          <w:ilvl w:val="0"/>
          <w:numId w:val="13"/>
        </w:numPr>
        <w:tabs>
          <w:tab w:pos="1454" w:val="left" w:leader="none"/>
        </w:tabs>
        <w:spacing w:line="242" w:lineRule="auto" w:before="0" w:after="0"/>
        <w:ind w:left="838" w:right="121" w:firstLine="0"/>
        <w:jc w:val="left"/>
        <w:rPr>
          <w:sz w:val="20"/>
        </w:rPr>
      </w:pPr>
      <w:r>
        <w:rPr>
          <w:sz w:val="20"/>
        </w:rPr>
        <w:t>En los demás casos en que la improcedencia resulte de alguna disposición de la Constitución Política de los Estados Unidos Mexicanos, o de esta</w:t>
      </w:r>
      <w:r>
        <w:rPr>
          <w:spacing w:val="-4"/>
          <w:sz w:val="20"/>
        </w:rPr>
        <w:t> </w:t>
      </w:r>
      <w:r>
        <w:rPr>
          <w:sz w:val="20"/>
        </w:rPr>
        <w:t>Ley.</w:t>
      </w:r>
    </w:p>
    <w:p>
      <w:pPr>
        <w:pStyle w:val="BodyText"/>
        <w:spacing w:before="5"/>
        <w:rPr>
          <w:sz w:val="19"/>
        </w:rPr>
      </w:pPr>
    </w:p>
    <w:p>
      <w:pPr>
        <w:pStyle w:val="BodyText"/>
        <w:spacing w:line="242" w:lineRule="auto" w:before="1"/>
        <w:ind w:left="118" w:right="338" w:firstLine="288"/>
      </w:pPr>
      <w:bookmarkStart w:name="Artículo_62" w:id="62"/>
      <w:bookmarkEnd w:id="62"/>
      <w:r>
        <w:rPr/>
      </w:r>
      <w:r>
        <w:rPr>
          <w:b/>
        </w:rPr>
        <w:t>Artículo 62. </w:t>
      </w:r>
      <w:r>
        <w:rPr/>
        <w:t>Las causas de improcedencia se analizarán de oficio por el órgano jurisdiccional que conozca del juicio de amparo.</w:t>
      </w:r>
    </w:p>
    <w:p>
      <w:pPr>
        <w:pStyle w:val="BodyText"/>
        <w:spacing w:before="6"/>
        <w:rPr>
          <w:sz w:val="11"/>
        </w:rPr>
      </w:pPr>
    </w:p>
    <w:p>
      <w:pPr>
        <w:pStyle w:val="Heading1"/>
        <w:spacing w:line="252" w:lineRule="exact" w:before="94"/>
        <w:ind w:left="607"/>
      </w:pPr>
      <w:r>
        <w:rPr/>
        <w:t>CAPÍTULO VIII</w:t>
      </w:r>
    </w:p>
    <w:p>
      <w:pPr>
        <w:spacing w:line="252" w:lineRule="exact" w:before="0"/>
        <w:ind w:left="607" w:right="603" w:firstLine="0"/>
        <w:jc w:val="center"/>
        <w:rPr>
          <w:b/>
          <w:sz w:val="22"/>
        </w:rPr>
      </w:pPr>
      <w:r>
        <w:rPr>
          <w:b/>
          <w:sz w:val="22"/>
        </w:rPr>
        <w:t>Sobreseimiento</w:t>
      </w:r>
    </w:p>
    <w:p>
      <w:pPr>
        <w:pStyle w:val="BodyText"/>
        <w:spacing w:before="11"/>
        <w:rPr>
          <w:b/>
          <w:sz w:val="19"/>
        </w:rPr>
      </w:pPr>
    </w:p>
    <w:p>
      <w:pPr>
        <w:pStyle w:val="BodyText"/>
        <w:ind w:left="406"/>
      </w:pPr>
      <w:bookmarkStart w:name="Artículo_63" w:id="63"/>
      <w:bookmarkEnd w:id="63"/>
      <w:r>
        <w:rPr/>
      </w:r>
      <w:r>
        <w:rPr>
          <w:b/>
        </w:rPr>
        <w:t>Artículo 63. </w:t>
      </w:r>
      <w:r>
        <w:rPr/>
        <w:t>El sobreseimiento en el juicio de amparo procede cuando:</w:t>
      </w:r>
    </w:p>
    <w:p>
      <w:pPr>
        <w:pStyle w:val="BodyText"/>
        <w:spacing w:before="1"/>
      </w:pPr>
    </w:p>
    <w:p>
      <w:pPr>
        <w:pStyle w:val="ListParagraph"/>
        <w:numPr>
          <w:ilvl w:val="0"/>
          <w:numId w:val="14"/>
        </w:numPr>
        <w:tabs>
          <w:tab w:pos="1046" w:val="left" w:leader="none"/>
        </w:tabs>
        <w:spacing w:line="240" w:lineRule="auto" w:before="0" w:after="0"/>
        <w:ind w:left="838" w:right="117" w:firstLine="0"/>
        <w:jc w:val="both"/>
        <w:rPr>
          <w:sz w:val="20"/>
        </w:rPr>
      </w:pPr>
      <w:r>
        <w:rPr>
          <w:sz w:val="20"/>
        </w:rPr>
        <w:t>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pPr>
        <w:pStyle w:val="BodyText"/>
        <w:spacing w:before="2"/>
      </w:pPr>
    </w:p>
    <w:p>
      <w:pPr>
        <w:pStyle w:val="BodyText"/>
        <w:ind w:left="838" w:right="116"/>
        <w:jc w:val="both"/>
      </w:pPr>
      <w:r>
        <w:rP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 del juicio o de los recursos, o el consentimiento expreso de los propios actos, salvo que lo acuerde expresamente la Asamblea General, pero uno y otro sí podrán decretarse en su beneficio;</w:t>
      </w:r>
    </w:p>
    <w:p>
      <w:pPr>
        <w:pStyle w:val="BodyText"/>
        <w:spacing w:before="9"/>
        <w:rPr>
          <w:sz w:val="19"/>
        </w:rPr>
      </w:pPr>
    </w:p>
    <w:p>
      <w:pPr>
        <w:pStyle w:val="ListParagraph"/>
        <w:numPr>
          <w:ilvl w:val="0"/>
          <w:numId w:val="14"/>
        </w:numPr>
        <w:tabs>
          <w:tab w:pos="1072" w:val="left" w:leader="none"/>
        </w:tabs>
        <w:spacing w:line="242" w:lineRule="auto" w:before="1" w:after="0"/>
        <w:ind w:left="838" w:right="121" w:firstLine="0"/>
        <w:jc w:val="both"/>
        <w:rPr>
          <w:sz w:val="20"/>
        </w:rPr>
      </w:pPr>
      <w:r>
        <w:rPr>
          <w:sz w:val="20"/>
        </w:rPr>
        <w:t>El quejoso no acredite sin causa razonable a juicio del órgano jurisdiccional de amparo haber entregado los edictos para su publicación en términos del artículo 27 de esta Ley una vez que se compruebe que se hizo el requerimiento al órgano que los</w:t>
      </w:r>
      <w:r>
        <w:rPr>
          <w:spacing w:val="-6"/>
          <w:sz w:val="20"/>
        </w:rPr>
        <w:t> </w:t>
      </w:r>
      <w:r>
        <w:rPr>
          <w:sz w:val="20"/>
        </w:rPr>
        <w:t>decretó;</w:t>
      </w:r>
    </w:p>
    <w:p>
      <w:pPr>
        <w:pStyle w:val="BodyText"/>
        <w:spacing w:before="4"/>
        <w:rPr>
          <w:sz w:val="19"/>
        </w:rPr>
      </w:pPr>
    </w:p>
    <w:p>
      <w:pPr>
        <w:pStyle w:val="ListParagraph"/>
        <w:numPr>
          <w:ilvl w:val="0"/>
          <w:numId w:val="14"/>
        </w:numPr>
        <w:tabs>
          <w:tab w:pos="1115" w:val="left" w:leader="none"/>
        </w:tabs>
        <w:spacing w:line="240" w:lineRule="auto" w:before="0" w:after="0"/>
        <w:ind w:left="1114" w:right="0" w:hanging="277"/>
        <w:jc w:val="both"/>
        <w:rPr>
          <w:sz w:val="20"/>
        </w:rPr>
      </w:pPr>
      <w:r>
        <w:rPr>
          <w:sz w:val="20"/>
        </w:rPr>
        <w:t>El quejoso muera durante el juicio, si el acto reclamado sólo afecta a su</w:t>
      </w:r>
      <w:r>
        <w:rPr>
          <w:spacing w:val="-17"/>
          <w:sz w:val="20"/>
        </w:rPr>
        <w:t> </w:t>
      </w:r>
      <w:r>
        <w:rPr>
          <w:sz w:val="20"/>
        </w:rPr>
        <w:t>persona;</w:t>
      </w:r>
    </w:p>
    <w:p>
      <w:pPr>
        <w:pStyle w:val="BodyText"/>
        <w:spacing w:before="1"/>
      </w:pPr>
    </w:p>
    <w:p>
      <w:pPr>
        <w:pStyle w:val="ListParagraph"/>
        <w:numPr>
          <w:ilvl w:val="0"/>
          <w:numId w:val="14"/>
        </w:numPr>
        <w:tabs>
          <w:tab w:pos="1202" w:val="left" w:leader="none"/>
        </w:tabs>
        <w:spacing w:line="242" w:lineRule="auto" w:before="0" w:after="0"/>
        <w:ind w:left="838" w:right="121" w:firstLine="0"/>
        <w:jc w:val="both"/>
        <w:rPr>
          <w:sz w:val="20"/>
        </w:rPr>
      </w:pPr>
      <w:r>
        <w:rPr>
          <w:sz w:val="20"/>
        </w:rPr>
        <w:t>De las constancias de autos apareciere claramente demostrado que no existe el acto reclamado, o cuando no se probare su existencia en la audiencia constitucional;</w:t>
      </w:r>
      <w:r>
        <w:rPr>
          <w:spacing w:val="-4"/>
          <w:sz w:val="20"/>
        </w:rPr>
        <w:t> </w:t>
      </w:r>
      <w:r>
        <w:rPr>
          <w:sz w:val="20"/>
        </w:rPr>
        <w:t>y</w:t>
      </w:r>
    </w:p>
    <w:p>
      <w:pPr>
        <w:spacing w:after="0" w:line="242" w:lineRule="auto"/>
        <w:jc w:val="both"/>
        <w:rPr>
          <w:sz w:val="20"/>
        </w:rPr>
        <w:sectPr>
          <w:pgSz w:w="12240" w:h="15840"/>
          <w:pgMar w:header="708" w:footer="712" w:top="1760" w:bottom="900" w:left="1300" w:right="1300"/>
        </w:sectPr>
      </w:pPr>
    </w:p>
    <w:p>
      <w:pPr>
        <w:pStyle w:val="BodyText"/>
        <w:spacing w:before="5"/>
        <w:rPr>
          <w:sz w:val="27"/>
        </w:rPr>
      </w:pPr>
    </w:p>
    <w:p>
      <w:pPr>
        <w:pStyle w:val="ListParagraph"/>
        <w:numPr>
          <w:ilvl w:val="0"/>
          <w:numId w:val="14"/>
        </w:numPr>
        <w:tabs>
          <w:tab w:pos="1091" w:val="left" w:leader="none"/>
        </w:tabs>
        <w:spacing w:line="242" w:lineRule="auto" w:before="93" w:after="0"/>
        <w:ind w:left="838" w:right="125" w:firstLine="0"/>
        <w:jc w:val="left"/>
        <w:rPr>
          <w:sz w:val="20"/>
        </w:rPr>
      </w:pPr>
      <w:r>
        <w:rPr>
          <w:sz w:val="20"/>
        </w:rPr>
        <w:t>Durante el juicio se advierta o sobrevenga alguna de las causales de improcedencia a que se refiere el capítulo</w:t>
      </w:r>
      <w:r>
        <w:rPr>
          <w:spacing w:val="-3"/>
          <w:sz w:val="20"/>
        </w:rPr>
        <w:t> </w:t>
      </w:r>
      <w:r>
        <w:rPr>
          <w:sz w:val="20"/>
        </w:rPr>
        <w:t>anterior.</w:t>
      </w:r>
    </w:p>
    <w:p>
      <w:pPr>
        <w:pStyle w:val="BodyText"/>
        <w:spacing w:before="8"/>
        <w:rPr>
          <w:sz w:val="19"/>
        </w:rPr>
      </w:pPr>
    </w:p>
    <w:p>
      <w:pPr>
        <w:pStyle w:val="BodyText"/>
        <w:ind w:left="118" w:right="122" w:firstLine="288"/>
        <w:jc w:val="both"/>
      </w:pPr>
      <w:bookmarkStart w:name="Artículo_64" w:id="64"/>
      <w:bookmarkEnd w:id="64"/>
      <w:r>
        <w:rPr/>
      </w:r>
      <w:r>
        <w:rPr>
          <w:b/>
        </w:rPr>
        <w:t>Artículo 64. </w:t>
      </w:r>
      <w:r>
        <w:rPr/>
        <w:t>Cuando las partes tengan conocimiento de alguna causa de sobreseimiento, la comunicarán de inmediato al órgano jurisdiccional de amparo y, de ser posible, acompañarán las constancias que la acrediten.</w:t>
      </w:r>
    </w:p>
    <w:p>
      <w:pPr>
        <w:pStyle w:val="BodyText"/>
        <w:spacing w:before="2"/>
      </w:pPr>
    </w:p>
    <w:p>
      <w:pPr>
        <w:pStyle w:val="BodyText"/>
        <w:ind w:left="118" w:right="119" w:firstLine="288"/>
        <w:jc w:val="both"/>
      </w:pPr>
      <w:r>
        <w:rPr/>
        <w:t>Cuando un órgano jurisdiccional de amparo advierta de oficio una causal de improcedencia no alegada por alguna de las partes ni analizada por un órgano jurisdiccional inferior, dará vista al quejoso para que en el plazo de tres días, manifieste lo que a su derecho</w:t>
      </w:r>
      <w:r>
        <w:rPr>
          <w:spacing w:val="-12"/>
        </w:rPr>
        <w:t> </w:t>
      </w:r>
      <w:r>
        <w:rPr/>
        <w:t>convenga.</w:t>
      </w:r>
    </w:p>
    <w:p>
      <w:pPr>
        <w:pStyle w:val="BodyText"/>
        <w:spacing w:before="8"/>
        <w:rPr>
          <w:sz w:val="19"/>
        </w:rPr>
      </w:pPr>
    </w:p>
    <w:p>
      <w:pPr>
        <w:pStyle w:val="BodyText"/>
        <w:spacing w:line="242" w:lineRule="auto"/>
        <w:ind w:left="118" w:right="126" w:firstLine="288"/>
        <w:jc w:val="both"/>
      </w:pPr>
      <w:bookmarkStart w:name="Artículo_65" w:id="65"/>
      <w:bookmarkEnd w:id="65"/>
      <w:r>
        <w:rPr/>
      </w:r>
      <w:r>
        <w:rPr>
          <w:b/>
        </w:rPr>
        <w:t>Artículo 65. </w:t>
      </w:r>
      <w:r>
        <w:rPr/>
        <w:t>El sobreseimiento no prejuzga sobre la constitucionalidad o legalidad del acto reclamado, ni sobre la responsabilidad de la autoridad responsable al ordenarlo o ejecutarlo y solo podrá decretarse cuando no exista duda de su actualización.</w:t>
      </w:r>
    </w:p>
    <w:p>
      <w:pPr>
        <w:pStyle w:val="BodyText"/>
        <w:spacing w:before="3"/>
        <w:rPr>
          <w:sz w:val="11"/>
        </w:rPr>
      </w:pPr>
    </w:p>
    <w:p>
      <w:pPr>
        <w:pStyle w:val="Heading1"/>
        <w:spacing w:before="94"/>
      </w:pPr>
      <w:r>
        <w:rPr/>
        <w:t>CAPÍTULO IX</w:t>
      </w:r>
    </w:p>
    <w:p>
      <w:pPr>
        <w:spacing w:before="2"/>
        <w:ind w:left="607" w:right="605" w:firstLine="0"/>
        <w:jc w:val="center"/>
        <w:rPr>
          <w:b/>
          <w:sz w:val="22"/>
        </w:rPr>
      </w:pPr>
      <w:r>
        <w:rPr>
          <w:b/>
          <w:sz w:val="22"/>
        </w:rPr>
        <w:t>Incidentes</w:t>
      </w:r>
    </w:p>
    <w:p>
      <w:pPr>
        <w:pStyle w:val="BodyText"/>
        <w:spacing w:before="10"/>
        <w:rPr>
          <w:b/>
          <w:sz w:val="19"/>
        </w:rPr>
      </w:pPr>
    </w:p>
    <w:p>
      <w:pPr>
        <w:pStyle w:val="BodyText"/>
        <w:ind w:left="118" w:right="121" w:firstLine="288"/>
        <w:jc w:val="both"/>
      </w:pPr>
      <w:bookmarkStart w:name="Artículo_66" w:id="66"/>
      <w:bookmarkEnd w:id="66"/>
      <w:r>
        <w:rPr/>
      </w:r>
      <w:r>
        <w:rPr>
          <w:b/>
        </w:rPr>
        <w:t>Artículo 66. </w:t>
      </w:r>
      <w:r>
        <w:rPr/>
        <w:t>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w:t>
      </w:r>
      <w:r>
        <w:rPr>
          <w:spacing w:val="-2"/>
        </w:rPr>
        <w:t> </w:t>
      </w:r>
      <w:r>
        <w:rPr/>
        <w:t>sentencia.</w:t>
      </w:r>
    </w:p>
    <w:p>
      <w:pPr>
        <w:pStyle w:val="BodyText"/>
      </w:pPr>
    </w:p>
    <w:p>
      <w:pPr>
        <w:pStyle w:val="BodyText"/>
        <w:ind w:left="118" w:right="120" w:firstLine="288"/>
        <w:jc w:val="both"/>
      </w:pPr>
      <w:bookmarkStart w:name="Artículo_67" w:id="67"/>
      <w:bookmarkEnd w:id="67"/>
      <w:r>
        <w:rPr/>
      </w:r>
      <w:r>
        <w:rPr>
          <w:b/>
        </w:rPr>
        <w:t>Artículo 67. </w:t>
      </w:r>
      <w:r>
        <w:rPr/>
        <w:t>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pPr>
        <w:pStyle w:val="BodyText"/>
        <w:spacing w:before="3"/>
      </w:pPr>
    </w:p>
    <w:p>
      <w:pPr>
        <w:pStyle w:val="BodyText"/>
        <w:ind w:left="118" w:right="123" w:firstLine="288"/>
        <w:jc w:val="both"/>
      </w:pPr>
      <w:r>
        <w:rPr/>
        <w:t>Transcurrido el plazo anterior, dentro de los tres días siguientes se celebrará la audiencia en la que se recibirán y desahogarán las pruebas, se oirán los alegatos de las partes y, en su caso, se dictará la resolución correspondiente.</w:t>
      </w:r>
    </w:p>
    <w:p>
      <w:pPr>
        <w:pStyle w:val="BodyText"/>
        <w:spacing w:before="7"/>
        <w:rPr>
          <w:sz w:val="11"/>
        </w:rPr>
      </w:pPr>
    </w:p>
    <w:p>
      <w:pPr>
        <w:pStyle w:val="Heading1"/>
        <w:spacing w:before="94"/>
        <w:ind w:left="3474" w:right="3456" w:firstLine="484"/>
        <w:jc w:val="left"/>
      </w:pPr>
      <w:r>
        <w:rPr/>
        <w:t>Sección Primera Nulidad de Notificaciones</w:t>
      </w:r>
    </w:p>
    <w:p>
      <w:pPr>
        <w:pStyle w:val="BodyText"/>
        <w:rPr>
          <w:b/>
        </w:rPr>
      </w:pPr>
    </w:p>
    <w:p>
      <w:pPr>
        <w:pStyle w:val="BodyText"/>
        <w:ind w:left="118" w:right="123" w:firstLine="288"/>
        <w:jc w:val="both"/>
      </w:pPr>
      <w:bookmarkStart w:name="Artículo_68" w:id="68"/>
      <w:bookmarkEnd w:id="68"/>
      <w:r>
        <w:rPr/>
      </w:r>
      <w:r>
        <w:rPr>
          <w:b/>
        </w:rPr>
        <w:t>Artículo 68. </w:t>
      </w:r>
      <w:r>
        <w:rPr/>
        <w:t>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pPr>
        <w:pStyle w:val="BodyText"/>
        <w:spacing w:before="3"/>
      </w:pPr>
    </w:p>
    <w:p>
      <w:pPr>
        <w:pStyle w:val="BodyText"/>
        <w:spacing w:line="480" w:lineRule="auto"/>
        <w:ind w:left="406" w:right="582"/>
      </w:pPr>
      <w:r>
        <w:rPr/>
        <w:t>Este incidente se tramitará en términos del artículo anterior y no suspenderá el procedimiento. Las promociones de nulidad notoriamente improcedentes se desecharán de plano.</w:t>
      </w:r>
    </w:p>
    <w:p>
      <w:pPr>
        <w:pStyle w:val="BodyText"/>
        <w:spacing w:line="227" w:lineRule="exact"/>
        <w:ind w:left="406"/>
      </w:pPr>
      <w:bookmarkStart w:name="Artículo_69" w:id="69"/>
      <w:bookmarkEnd w:id="69"/>
      <w:r>
        <w:rPr/>
      </w:r>
      <w:r>
        <w:rPr>
          <w:b/>
        </w:rPr>
        <w:t>Artículo 69. </w:t>
      </w:r>
      <w:r>
        <w:rPr/>
        <w:t>Declarada la nulidad, se repondrá el procedimiento a partir de la actuación anulada.</w:t>
      </w:r>
    </w:p>
    <w:p>
      <w:pPr>
        <w:pStyle w:val="BodyText"/>
        <w:spacing w:before="1"/>
      </w:pPr>
    </w:p>
    <w:p>
      <w:pPr>
        <w:pStyle w:val="Heading1"/>
        <w:ind w:left="2881" w:right="2863" w:firstLine="1022"/>
        <w:jc w:val="left"/>
      </w:pPr>
      <w:r>
        <w:rPr/>
        <w:t>Sección Segunda Reposición de Constancias de Autos</w:t>
      </w:r>
    </w:p>
    <w:p>
      <w:pPr>
        <w:spacing w:after="0"/>
        <w:jc w:val="left"/>
        <w:sectPr>
          <w:pgSz w:w="12240" w:h="15840"/>
          <w:pgMar w:header="708" w:footer="712" w:top="1760" w:bottom="900" w:left="1300" w:right="1300"/>
        </w:sectPr>
      </w:pPr>
    </w:p>
    <w:p>
      <w:pPr>
        <w:pStyle w:val="BodyText"/>
        <w:spacing w:before="5"/>
        <w:rPr>
          <w:b/>
          <w:sz w:val="27"/>
        </w:rPr>
      </w:pPr>
    </w:p>
    <w:p>
      <w:pPr>
        <w:pStyle w:val="BodyText"/>
        <w:spacing w:before="93"/>
        <w:ind w:left="118" w:right="119" w:firstLine="288"/>
        <w:jc w:val="both"/>
      </w:pPr>
      <w:bookmarkStart w:name="Artículo_70" w:id="70"/>
      <w:bookmarkEnd w:id="70"/>
      <w:r>
        <w:rPr/>
      </w:r>
      <w:r>
        <w:rPr>
          <w:b/>
        </w:rPr>
        <w:t>Artículo 70. </w:t>
      </w:r>
      <w:r>
        <w:rPr/>
        <w:t>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pPr>
        <w:pStyle w:val="BodyText"/>
      </w:pPr>
    </w:p>
    <w:p>
      <w:pPr>
        <w:pStyle w:val="BodyText"/>
        <w:spacing w:line="242" w:lineRule="auto"/>
        <w:ind w:left="118" w:right="124" w:firstLine="288"/>
        <w:jc w:val="both"/>
      </w:pPr>
      <w:bookmarkStart w:name="Artículo_71" w:id="71"/>
      <w:bookmarkEnd w:id="71"/>
      <w:r>
        <w:rPr/>
      </w:r>
      <w:r>
        <w:rPr>
          <w:b/>
        </w:rPr>
        <w:t>Artículo 71. </w:t>
      </w:r>
      <w:r>
        <w:rPr/>
        <w:t>El órgano jurisdiccional requerirá a las partes para que dentro del plazo de cinco días, aporten las copias de las constancias y documentos relativos al expediente que obren en su poder. En caso necesario, este plazo podrá ampliarse por otros cinco días.</w:t>
      </w:r>
    </w:p>
    <w:p>
      <w:pPr>
        <w:pStyle w:val="BodyText"/>
        <w:spacing w:before="6"/>
        <w:rPr>
          <w:sz w:val="19"/>
        </w:rPr>
      </w:pPr>
    </w:p>
    <w:p>
      <w:pPr>
        <w:pStyle w:val="BodyText"/>
        <w:ind w:left="118" w:right="127" w:firstLine="288"/>
        <w:jc w:val="both"/>
      </w:pPr>
      <w:r>
        <w:rPr/>
        <w:t>El juzgador está facultado para investigar de oficio la existencia de las piezas de autos desaparecidas, valiéndose para ello de todos los medios de prueba admisibles en el juicio de amparo y ley</w:t>
      </w:r>
      <w:r>
        <w:rPr>
          <w:spacing w:val="-22"/>
        </w:rPr>
        <w:t> </w:t>
      </w:r>
      <w:r>
        <w:rPr/>
        <w:t>supletoria.</w:t>
      </w:r>
    </w:p>
    <w:p>
      <w:pPr>
        <w:pStyle w:val="BodyText"/>
      </w:pPr>
    </w:p>
    <w:p>
      <w:pPr>
        <w:pStyle w:val="BodyText"/>
        <w:ind w:left="118" w:right="120" w:firstLine="288"/>
        <w:jc w:val="both"/>
      </w:pPr>
      <w:bookmarkStart w:name="Artículo_72" w:id="72"/>
      <w:bookmarkEnd w:id="72"/>
      <w:r>
        <w:rPr/>
      </w:r>
      <w:r>
        <w:rPr>
          <w:b/>
        </w:rPr>
        <w:t>Artículo 72. </w:t>
      </w:r>
      <w:r>
        <w:rPr/>
        <w:t>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w:t>
      </w:r>
      <w:r>
        <w:rPr>
          <w:spacing w:val="-25"/>
        </w:rPr>
        <w:t> </w:t>
      </w:r>
      <w:r>
        <w:rPr/>
        <w:t>corresponda.</w:t>
      </w:r>
    </w:p>
    <w:p>
      <w:pPr>
        <w:pStyle w:val="BodyText"/>
        <w:spacing w:before="1"/>
      </w:pPr>
    </w:p>
    <w:p>
      <w:pPr>
        <w:pStyle w:val="BodyText"/>
        <w:spacing w:before="1"/>
        <w:ind w:left="118" w:right="125" w:firstLine="288"/>
        <w:jc w:val="both"/>
      </w:pPr>
      <w:r>
        <w:rPr/>
        <w:t>Si la pérdida es imputable a alguna de las partes, la reposición se hará a su costa, quien además pagará los daños y perjuicios que el extravío y la reposición ocasionen, sin perjuicio de las sanciones penales que ello implique.</w:t>
      </w:r>
    </w:p>
    <w:p>
      <w:pPr>
        <w:pStyle w:val="BodyText"/>
        <w:spacing w:before="7"/>
        <w:rPr>
          <w:sz w:val="11"/>
        </w:rPr>
      </w:pPr>
    </w:p>
    <w:p>
      <w:pPr>
        <w:pStyle w:val="Heading1"/>
        <w:spacing w:before="93"/>
      </w:pPr>
      <w:r>
        <w:rPr/>
        <w:t>CAPÍTULO X</w:t>
      </w:r>
    </w:p>
    <w:p>
      <w:pPr>
        <w:spacing w:before="2"/>
        <w:ind w:left="607" w:right="603" w:firstLine="0"/>
        <w:jc w:val="center"/>
        <w:rPr>
          <w:b/>
          <w:sz w:val="22"/>
        </w:rPr>
      </w:pPr>
      <w:r>
        <w:rPr>
          <w:b/>
          <w:sz w:val="22"/>
        </w:rPr>
        <w:t>Sentencias</w:t>
      </w:r>
    </w:p>
    <w:p>
      <w:pPr>
        <w:pStyle w:val="BodyText"/>
        <w:spacing w:before="10"/>
        <w:rPr>
          <w:b/>
          <w:sz w:val="19"/>
        </w:rPr>
      </w:pPr>
    </w:p>
    <w:p>
      <w:pPr>
        <w:pStyle w:val="BodyText"/>
        <w:spacing w:line="242" w:lineRule="auto"/>
        <w:ind w:left="118" w:right="124" w:firstLine="288"/>
        <w:jc w:val="both"/>
      </w:pPr>
      <w:bookmarkStart w:name="Artículo_73" w:id="73"/>
      <w:bookmarkEnd w:id="73"/>
      <w:r>
        <w:rPr/>
      </w:r>
      <w:r>
        <w:rPr>
          <w:b/>
        </w:rPr>
        <w:t>Artículo 73. </w:t>
      </w:r>
      <w:r>
        <w:rPr/>
        <w:t>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pPr>
        <w:pStyle w:val="BodyText"/>
        <w:spacing w:before="7"/>
        <w:rPr>
          <w:sz w:val="19"/>
        </w:rPr>
      </w:pPr>
    </w:p>
    <w:p>
      <w:pPr>
        <w:pStyle w:val="BodyText"/>
        <w:ind w:left="118" w:right="125" w:firstLine="288"/>
        <w:jc w:val="both"/>
      </w:pPr>
      <w:r>
        <w:rPr/>
        <w:t>El Pleno y las Salas de la Suprema Corte de Justicia de la Nación, así como los Tribunales</w:t>
      </w:r>
      <w:r>
        <w:rPr>
          <w:spacing w:val="-34"/>
        </w:rPr>
        <w:t> </w:t>
      </w:r>
      <w:r>
        <w:rPr/>
        <w:t>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w:t>
      </w:r>
      <w:r>
        <w:rPr>
          <w:spacing w:val="-4"/>
        </w:rPr>
        <w:t> </w:t>
      </w:r>
      <w:r>
        <w:rPr/>
        <w:t>resolverán.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right="125" w:firstLine="288"/>
        <w:jc w:val="both"/>
      </w:pPr>
      <w:r>
        <w:rPr/>
        <w:t>La Suprema Corte de Justicia de la Nación y el Consejo de la Judicatura Federal, mediante acuerdos generales, reglamentarán la publicidad que deba darse a los proyectos de sentencia a que se refiere el párrafo anterior.</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17-06-2016</w:t>
      </w:r>
    </w:p>
    <w:p>
      <w:pPr>
        <w:pStyle w:val="BodyText"/>
        <w:spacing w:before="3"/>
        <w:rPr>
          <w:rFonts w:ascii="Times New Roman"/>
          <w:i/>
        </w:rPr>
      </w:pPr>
    </w:p>
    <w:p>
      <w:pPr>
        <w:pStyle w:val="BodyText"/>
        <w:spacing w:before="1"/>
        <w:ind w:left="118" w:right="338" w:firstLine="288"/>
      </w:pPr>
      <w:r>
        <w:rPr/>
        <w:t>Cuando proceda hacer la declaratoria general de inconstitucionalidad se aplicarán las disposiciones del Título Cuarto de esta Ley.</w:t>
      </w:r>
    </w:p>
    <w:p>
      <w:pPr>
        <w:pStyle w:val="BodyText"/>
        <w:spacing w:before="10"/>
        <w:rPr>
          <w:sz w:val="19"/>
        </w:rPr>
      </w:pPr>
    </w:p>
    <w:p>
      <w:pPr>
        <w:pStyle w:val="BodyText"/>
        <w:ind w:left="118" w:right="107" w:firstLine="288"/>
      </w:pPr>
      <w:r>
        <w:rPr/>
        <w:t>En amparo directo, la calificación de los conceptos de violación en que se alegue la inconstitucionalidad de una norma general, se hará únicamente en la parte considerativa de la sentencia.</w:t>
      </w:r>
    </w:p>
    <w:p>
      <w:pPr>
        <w:pStyle w:val="BodyText"/>
        <w:spacing w:before="11"/>
        <w:rPr>
          <w:sz w:val="19"/>
        </w:rPr>
      </w:pPr>
    </w:p>
    <w:p>
      <w:pPr>
        <w:spacing w:before="0"/>
        <w:ind w:left="406" w:right="0" w:firstLine="0"/>
        <w:jc w:val="left"/>
        <w:rPr>
          <w:sz w:val="20"/>
        </w:rPr>
      </w:pPr>
      <w:bookmarkStart w:name="Artículo_74" w:id="74"/>
      <w:bookmarkEnd w:id="74"/>
      <w:r>
        <w:rPr/>
      </w:r>
      <w:r>
        <w:rPr>
          <w:b/>
          <w:sz w:val="20"/>
        </w:rPr>
        <w:t>Artículo 74. </w:t>
      </w:r>
      <w:r>
        <w:rPr>
          <w:sz w:val="20"/>
        </w:rPr>
        <w:t>La sentencia debe contener:</w:t>
      </w:r>
    </w:p>
    <w:p>
      <w:pPr>
        <w:pStyle w:val="BodyText"/>
      </w:pPr>
    </w:p>
    <w:p>
      <w:pPr>
        <w:pStyle w:val="ListParagraph"/>
        <w:numPr>
          <w:ilvl w:val="0"/>
          <w:numId w:val="15"/>
        </w:numPr>
        <w:tabs>
          <w:tab w:pos="1005" w:val="left" w:leader="none"/>
        </w:tabs>
        <w:spacing w:line="240" w:lineRule="auto" w:before="1" w:after="0"/>
        <w:ind w:left="1004" w:right="0" w:hanging="167"/>
        <w:jc w:val="left"/>
        <w:rPr>
          <w:sz w:val="20"/>
        </w:rPr>
      </w:pPr>
      <w:r>
        <w:rPr>
          <w:sz w:val="20"/>
        </w:rPr>
        <w:t>La fijación clara y precisa del acto</w:t>
      </w:r>
      <w:r>
        <w:rPr>
          <w:spacing w:val="-3"/>
          <w:sz w:val="20"/>
        </w:rPr>
        <w:t> </w:t>
      </w:r>
      <w:r>
        <w:rPr>
          <w:sz w:val="20"/>
        </w:rPr>
        <w:t>reclamado;</w:t>
      </w:r>
    </w:p>
    <w:p>
      <w:pPr>
        <w:pStyle w:val="BodyText"/>
        <w:spacing w:before="9"/>
        <w:rPr>
          <w:sz w:val="19"/>
        </w:rPr>
      </w:pPr>
    </w:p>
    <w:p>
      <w:pPr>
        <w:pStyle w:val="ListParagraph"/>
        <w:numPr>
          <w:ilvl w:val="0"/>
          <w:numId w:val="15"/>
        </w:numPr>
        <w:tabs>
          <w:tab w:pos="1060" w:val="left" w:leader="none"/>
        </w:tabs>
        <w:spacing w:line="240" w:lineRule="auto" w:before="1" w:after="0"/>
        <w:ind w:left="1059" w:right="0" w:hanging="222"/>
        <w:jc w:val="left"/>
        <w:rPr>
          <w:sz w:val="20"/>
        </w:rPr>
      </w:pPr>
      <w:r>
        <w:rPr>
          <w:sz w:val="20"/>
        </w:rPr>
        <w:t>El análisis sistemático de todos los conceptos de violación o en su caso de todos los</w:t>
      </w:r>
      <w:r>
        <w:rPr>
          <w:spacing w:val="-18"/>
          <w:sz w:val="20"/>
        </w:rPr>
        <w:t> </w:t>
      </w:r>
      <w:r>
        <w:rPr>
          <w:sz w:val="20"/>
        </w:rPr>
        <w:t>agravios;</w:t>
      </w:r>
    </w:p>
    <w:p>
      <w:pPr>
        <w:pStyle w:val="BodyText"/>
      </w:pPr>
    </w:p>
    <w:p>
      <w:pPr>
        <w:pStyle w:val="ListParagraph"/>
        <w:numPr>
          <w:ilvl w:val="0"/>
          <w:numId w:val="15"/>
        </w:numPr>
        <w:tabs>
          <w:tab w:pos="1115" w:val="left" w:leader="none"/>
        </w:tabs>
        <w:spacing w:line="240" w:lineRule="auto" w:before="0" w:after="0"/>
        <w:ind w:left="1114" w:right="0" w:hanging="277"/>
        <w:jc w:val="left"/>
        <w:rPr>
          <w:sz w:val="20"/>
        </w:rPr>
      </w:pPr>
      <w:r>
        <w:rPr>
          <w:sz w:val="20"/>
        </w:rPr>
        <w:t>La valoración de las pruebas admitidas y desahogadas en el juicio;</w:t>
      </w:r>
    </w:p>
    <w:p>
      <w:pPr>
        <w:spacing w:after="0" w:line="240" w:lineRule="auto"/>
        <w:jc w:val="left"/>
        <w:rPr>
          <w:sz w:val="20"/>
        </w:rPr>
        <w:sectPr>
          <w:pgSz w:w="12240" w:h="15840"/>
          <w:pgMar w:header="708" w:footer="712" w:top="1760" w:bottom="900" w:left="1300" w:right="1300"/>
        </w:sectPr>
      </w:pPr>
    </w:p>
    <w:p>
      <w:pPr>
        <w:pStyle w:val="BodyText"/>
      </w:pPr>
    </w:p>
    <w:p>
      <w:pPr>
        <w:pStyle w:val="BodyText"/>
        <w:spacing w:before="6"/>
        <w:rPr>
          <w:sz w:val="27"/>
        </w:rPr>
      </w:pPr>
    </w:p>
    <w:p>
      <w:pPr>
        <w:pStyle w:val="ListParagraph"/>
        <w:numPr>
          <w:ilvl w:val="0"/>
          <w:numId w:val="15"/>
        </w:numPr>
        <w:tabs>
          <w:tab w:pos="1204" w:val="left" w:leader="none"/>
        </w:tabs>
        <w:spacing w:line="242" w:lineRule="auto" w:before="92" w:after="0"/>
        <w:ind w:left="838" w:right="125" w:firstLine="0"/>
        <w:jc w:val="both"/>
        <w:rPr>
          <w:sz w:val="20"/>
        </w:rPr>
      </w:pPr>
      <w:r>
        <w:rPr>
          <w:sz w:val="20"/>
        </w:rPr>
        <w:t>Las consideraciones y fundamentos legales en que se apoye para conceder, negar o sobreseer;</w:t>
      </w:r>
    </w:p>
    <w:p>
      <w:pPr>
        <w:pStyle w:val="BodyText"/>
        <w:spacing w:before="6"/>
        <w:rPr>
          <w:sz w:val="19"/>
        </w:rPr>
      </w:pPr>
    </w:p>
    <w:p>
      <w:pPr>
        <w:pStyle w:val="ListParagraph"/>
        <w:numPr>
          <w:ilvl w:val="0"/>
          <w:numId w:val="15"/>
        </w:numPr>
        <w:tabs>
          <w:tab w:pos="1110" w:val="left" w:leader="none"/>
        </w:tabs>
        <w:spacing w:line="242" w:lineRule="auto" w:before="0" w:after="0"/>
        <w:ind w:left="838" w:right="115" w:firstLine="0"/>
        <w:jc w:val="both"/>
        <w:rPr>
          <w:sz w:val="20"/>
        </w:rPr>
      </w:pPr>
      <w:r>
        <w:rPr>
          <w:sz w:val="20"/>
        </w:rPr>
        <w:t>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w:t>
      </w:r>
      <w:r>
        <w:rPr>
          <w:spacing w:val="-2"/>
          <w:sz w:val="20"/>
        </w:rPr>
        <w:t> </w:t>
      </w:r>
      <w:r>
        <w:rPr>
          <w:sz w:val="20"/>
        </w:rPr>
        <w:t>y</w:t>
      </w:r>
    </w:p>
    <w:p>
      <w:pPr>
        <w:pStyle w:val="BodyText"/>
        <w:spacing w:before="2"/>
        <w:rPr>
          <w:sz w:val="19"/>
        </w:rPr>
      </w:pPr>
    </w:p>
    <w:p>
      <w:pPr>
        <w:pStyle w:val="ListParagraph"/>
        <w:numPr>
          <w:ilvl w:val="0"/>
          <w:numId w:val="15"/>
        </w:numPr>
        <w:tabs>
          <w:tab w:pos="1142" w:val="left" w:leader="none"/>
        </w:tabs>
        <w:spacing w:line="242" w:lineRule="auto" w:before="0" w:after="0"/>
        <w:ind w:left="838" w:right="125" w:firstLine="0"/>
        <w:jc w:val="both"/>
        <w:rPr>
          <w:sz w:val="20"/>
        </w:rPr>
      </w:pPr>
      <w:r>
        <w:rPr>
          <w:sz w:val="20"/>
        </w:rPr>
        <w:t>Los puntos resolutivos en los que se exprese el acto, norma u omisión por el que se conceda, niegue o sobresea el amparo </w:t>
      </w:r>
      <w:r>
        <w:rPr>
          <w:spacing w:val="-3"/>
          <w:sz w:val="20"/>
        </w:rPr>
        <w:t>y, </w:t>
      </w:r>
      <w:r>
        <w:rPr>
          <w:sz w:val="20"/>
        </w:rPr>
        <w:t>cuando sea el caso, los efectos de la concesión en congruencia con la parte considerativa.</w:t>
      </w:r>
    </w:p>
    <w:p>
      <w:pPr>
        <w:pStyle w:val="BodyText"/>
        <w:spacing w:before="9"/>
        <w:rPr>
          <w:sz w:val="19"/>
        </w:rPr>
      </w:pPr>
    </w:p>
    <w:p>
      <w:pPr>
        <w:pStyle w:val="BodyText"/>
        <w:ind w:left="118" w:right="123" w:firstLine="288"/>
        <w:jc w:val="both"/>
      </w:pPr>
      <w:r>
        <w:rPr/>
        <w:t>El órgano jurisdiccional, de oficio podrá aclarar la sentencia ejecutoriada, solamente para corregir los posibles errores del documento a fin de que concuerde con la sentencia, acto jurídico decisorio, sin alterar las consideraciones esenciales de la</w:t>
      </w:r>
      <w:r>
        <w:rPr>
          <w:spacing w:val="-1"/>
        </w:rPr>
        <w:t> </w:t>
      </w:r>
      <w:r>
        <w:rPr/>
        <w:t>misma.</w:t>
      </w:r>
    </w:p>
    <w:p>
      <w:pPr>
        <w:pStyle w:val="BodyText"/>
        <w:spacing w:before="9"/>
        <w:rPr>
          <w:sz w:val="19"/>
        </w:rPr>
      </w:pPr>
    </w:p>
    <w:p>
      <w:pPr>
        <w:pStyle w:val="BodyText"/>
        <w:spacing w:line="242" w:lineRule="auto"/>
        <w:ind w:left="118" w:right="122" w:firstLine="288"/>
        <w:jc w:val="both"/>
      </w:pPr>
      <w:bookmarkStart w:name="Artículo_75" w:id="75"/>
      <w:bookmarkEnd w:id="75"/>
      <w:r>
        <w:rPr/>
      </w:r>
      <w:r>
        <w:rPr>
          <w:b/>
        </w:rPr>
        <w:t>Artículo 75. </w:t>
      </w:r>
      <w:r>
        <w:rPr/>
        <w:t>En las sentencias que se dicten en los juicios de amparo el acto reclamado se apreciará tal y como aparezca probado ante la autoridad responsable. No se admitirán ni se tomarán en consideración las pruebas que no se hubiesen rendido ante dicha autoridad.</w:t>
      </w:r>
    </w:p>
    <w:p>
      <w:pPr>
        <w:pStyle w:val="BodyText"/>
        <w:spacing w:before="6"/>
        <w:rPr>
          <w:sz w:val="19"/>
        </w:rPr>
      </w:pPr>
    </w:p>
    <w:p>
      <w:pPr>
        <w:pStyle w:val="BodyText"/>
        <w:ind w:left="118" w:right="122" w:firstLine="288"/>
        <w:jc w:val="both"/>
      </w:pPr>
      <w:r>
        <w:rPr/>
        <w:t>No obstante lo dispuesto en el párrafo anterior, en el amparo indirecto el quejoso podrá ofrecer pruebas cuando no hubiere tenido oportunidad de hacerlo ante la autoridad responsable. Adicionalmente, en materia penal, el juez de distrito deberá cerciorarse de que este ofrecimiento en el amparo no implique una violación a la oralidad o a los principios que rigen en el proceso penal acusatorio.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spacing w:before="1"/>
        <w:ind w:left="118" w:right="121" w:firstLine="288"/>
        <w:jc w:val="both"/>
      </w:pPr>
      <w:r>
        <w:rPr/>
        <w:t>El Órgano jurisdiccional deberá recabar oficiosamente las pruebas rendidas ante la responsable y las actuaciones que estime necesarias para la resolución del asunto. En materia penal, se estará a lo dispuesto en la última parte del párrafo anterior.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21" w:firstLine="288"/>
        <w:jc w:val="both"/>
      </w:pPr>
      <w:r>
        <w:rP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BodyText"/>
        <w:spacing w:before="10"/>
        <w:rPr>
          <w:sz w:val="19"/>
        </w:rPr>
      </w:pPr>
    </w:p>
    <w:p>
      <w:pPr>
        <w:pStyle w:val="BodyText"/>
        <w:ind w:left="118" w:right="123" w:firstLine="288"/>
        <w:jc w:val="both"/>
      </w:pPr>
      <w:bookmarkStart w:name="Artículo_76" w:id="76"/>
      <w:bookmarkEnd w:id="76"/>
      <w:r>
        <w:rPr/>
      </w:r>
      <w:r>
        <w:rPr>
          <w:b/>
        </w:rPr>
        <w:t>Artículo 76. </w:t>
      </w:r>
      <w:r>
        <w:rPr/>
        <w:t>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pPr>
        <w:pStyle w:val="BodyText"/>
      </w:pPr>
    </w:p>
    <w:p>
      <w:pPr>
        <w:spacing w:before="0"/>
        <w:ind w:left="406" w:right="0" w:firstLine="0"/>
        <w:jc w:val="left"/>
        <w:rPr>
          <w:sz w:val="20"/>
        </w:rPr>
      </w:pPr>
      <w:bookmarkStart w:name="Artículo_77" w:id="77"/>
      <w:bookmarkEnd w:id="77"/>
      <w:r>
        <w:rPr/>
      </w:r>
      <w:r>
        <w:rPr>
          <w:b/>
          <w:sz w:val="20"/>
        </w:rPr>
        <w:t>Artículo 77. </w:t>
      </w:r>
      <w:r>
        <w:rPr>
          <w:sz w:val="20"/>
        </w:rPr>
        <w:t>Los efectos de la concesión del amparo serán:</w:t>
      </w:r>
    </w:p>
    <w:p>
      <w:pPr>
        <w:pStyle w:val="BodyText"/>
        <w:spacing w:before="1"/>
      </w:pPr>
    </w:p>
    <w:p>
      <w:pPr>
        <w:pStyle w:val="ListParagraph"/>
        <w:numPr>
          <w:ilvl w:val="0"/>
          <w:numId w:val="16"/>
        </w:numPr>
        <w:tabs>
          <w:tab w:pos="1012" w:val="left" w:leader="none"/>
        </w:tabs>
        <w:spacing w:line="242" w:lineRule="auto" w:before="0" w:after="0"/>
        <w:ind w:left="838" w:right="119" w:firstLine="0"/>
        <w:jc w:val="left"/>
        <w:rPr>
          <w:sz w:val="20"/>
        </w:rPr>
      </w:pPr>
      <w:r>
        <w:rPr>
          <w:sz w:val="20"/>
        </w:rPr>
        <w:t>Cuando el acto reclamado sea de carácter positivo se restituirá al quejoso en el pleno goce del derecho violado, restableciendo las cosas al estado que guardaban antes de la violación;</w:t>
      </w:r>
      <w:r>
        <w:rPr>
          <w:spacing w:val="-11"/>
          <w:sz w:val="20"/>
        </w:rPr>
        <w:t> </w:t>
      </w:r>
      <w:r>
        <w:rPr>
          <w:sz w:val="20"/>
        </w:rPr>
        <w:t>y</w:t>
      </w:r>
    </w:p>
    <w:p>
      <w:pPr>
        <w:pStyle w:val="BodyText"/>
        <w:spacing w:before="5"/>
        <w:rPr>
          <w:sz w:val="19"/>
        </w:rPr>
      </w:pPr>
    </w:p>
    <w:p>
      <w:pPr>
        <w:pStyle w:val="ListParagraph"/>
        <w:numPr>
          <w:ilvl w:val="0"/>
          <w:numId w:val="16"/>
        </w:numPr>
        <w:tabs>
          <w:tab w:pos="1106" w:val="left" w:leader="none"/>
        </w:tabs>
        <w:spacing w:line="242" w:lineRule="auto" w:before="1" w:after="0"/>
        <w:ind w:left="838" w:right="127" w:firstLine="0"/>
        <w:jc w:val="left"/>
        <w:rPr>
          <w:sz w:val="20"/>
        </w:rPr>
      </w:pPr>
      <w:r>
        <w:rPr>
          <w:sz w:val="20"/>
        </w:rPr>
        <w:t>Cuando el acto reclamado sea de carácter negativo o implique una omisión, obligar a la autoridad responsable a respetar el derecho de que se trate y a cumplir lo que el mismo</w:t>
      </w:r>
      <w:r>
        <w:rPr>
          <w:spacing w:val="-18"/>
          <w:sz w:val="20"/>
        </w:rPr>
        <w:t> </w:t>
      </w:r>
      <w:r>
        <w:rPr>
          <w:sz w:val="20"/>
        </w:rPr>
        <w:t>exija.</w:t>
      </w:r>
    </w:p>
    <w:p>
      <w:pPr>
        <w:spacing w:after="0" w:line="242" w:lineRule="auto"/>
        <w:jc w:val="left"/>
        <w:rPr>
          <w:sz w:val="20"/>
        </w:rPr>
        <w:sectPr>
          <w:pgSz w:w="12240" w:h="15840"/>
          <w:pgMar w:header="708" w:footer="712" w:top="1760" w:bottom="900" w:left="1300" w:right="1300"/>
        </w:sectPr>
      </w:pPr>
    </w:p>
    <w:p>
      <w:pPr>
        <w:pStyle w:val="BodyText"/>
        <w:spacing w:before="8"/>
        <w:rPr>
          <w:sz w:val="27"/>
        </w:rPr>
      </w:pPr>
    </w:p>
    <w:p>
      <w:pPr>
        <w:pStyle w:val="BodyText"/>
        <w:spacing w:before="92"/>
        <w:ind w:left="118" w:right="115" w:firstLine="288"/>
        <w:jc w:val="both"/>
      </w:pPr>
      <w:r>
        <w:rP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pPr>
        <w:pStyle w:val="BodyText"/>
      </w:pPr>
    </w:p>
    <w:p>
      <w:pPr>
        <w:pStyle w:val="BodyText"/>
        <w:ind w:left="118" w:right="115" w:firstLine="288"/>
        <w:jc w:val="both"/>
      </w:pPr>
      <w:r>
        <w:rPr/>
        <w:t>En asuntos del orden penal en que se reclame una orden de aprehensión o autos que establezcan providencias precautorias o impongan medidas cautelares restrictivas de la libertad con motivo de delitos que la ley no considere como graves o respecto de los cuales no proceda la prisión preventiva oficiosa conforme la legislación procedimental aplicable, la sentencia que conceda el amparo surtirá efectos inmediatos, sin perjuicio de que pueda ser revocada mediante el recurso de revisión; salvo que se reclame el auto por el que se resuelva la situación jurídica del quejoso en el sentido de sujetarlo a proceso penal, en términos de la legislación procesal aplicable, y el amparo se conceda por vicios formales.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2"/>
        <w:rPr>
          <w:rFonts w:ascii="Times New Roman"/>
          <w:i/>
        </w:rPr>
      </w:pPr>
    </w:p>
    <w:p>
      <w:pPr>
        <w:pStyle w:val="BodyText"/>
        <w:ind w:left="118" w:right="118" w:firstLine="288"/>
        <w:jc w:val="both"/>
      </w:pPr>
      <w:r>
        <w:rPr/>
        <w:t>En caso de que el efecto de la sentencia sea la libertad del quejoso, ésta se decretará bajo las medidas de aseguramiento que el órgano jurisdiccional estime necesarias, a fin de que el quejoso no evada la acción de la justicia.</w:t>
      </w:r>
    </w:p>
    <w:p>
      <w:pPr>
        <w:pStyle w:val="BodyText"/>
        <w:spacing w:before="1"/>
      </w:pPr>
    </w:p>
    <w:p>
      <w:pPr>
        <w:pStyle w:val="BodyText"/>
        <w:ind w:left="118" w:right="124" w:firstLine="288"/>
        <w:jc w:val="both"/>
      </w:pPr>
      <w:r>
        <w:rPr/>
        <w:t>En todo caso, la sentencia surtirá sus efectos, cuando se declare ejecutoriada o cause estado por ministerio de ley.</w:t>
      </w:r>
    </w:p>
    <w:p>
      <w:pPr>
        <w:pStyle w:val="BodyText"/>
        <w:spacing w:before="8"/>
        <w:rPr>
          <w:sz w:val="19"/>
        </w:rPr>
      </w:pPr>
    </w:p>
    <w:p>
      <w:pPr>
        <w:pStyle w:val="BodyText"/>
        <w:spacing w:line="242" w:lineRule="auto"/>
        <w:ind w:left="118" w:right="116" w:firstLine="288"/>
        <w:jc w:val="both"/>
      </w:pPr>
      <w:bookmarkStart w:name="Artículo_78" w:id="78"/>
      <w:bookmarkEnd w:id="78"/>
      <w:r>
        <w:rPr/>
      </w:r>
      <w:r>
        <w:rPr>
          <w:b/>
        </w:rPr>
        <w:t>Artículo 78. </w:t>
      </w:r>
      <w:r>
        <w:rPr/>
        <w:t>Cuando el acto reclamado sea una norma general la sentencia deberá determinar si es constitucional, o si debe considerarse inconstitucional.</w:t>
      </w:r>
    </w:p>
    <w:p>
      <w:pPr>
        <w:pStyle w:val="BodyText"/>
        <w:spacing w:before="11"/>
        <w:rPr>
          <w:sz w:val="19"/>
        </w:rPr>
      </w:pPr>
    </w:p>
    <w:p>
      <w:pPr>
        <w:pStyle w:val="BodyText"/>
        <w:ind w:left="118" w:right="114" w:firstLine="288"/>
        <w:jc w:val="both"/>
      </w:pPr>
      <w:r>
        <w:rPr/>
        <w:t>Si se declara la inconstitucionalidad de la norma general impugnada, los efectos se extenderán a todas aquellas normas y actos cuya validez dependa de la propia norma invalidada. Dichos efectos se traducirán en la inaplicación únicamente respecto del</w:t>
      </w:r>
      <w:r>
        <w:rPr>
          <w:spacing w:val="-3"/>
        </w:rPr>
        <w:t> </w:t>
      </w:r>
      <w:r>
        <w:rPr/>
        <w:t>quejoso.</w:t>
      </w:r>
    </w:p>
    <w:p>
      <w:pPr>
        <w:pStyle w:val="BodyText"/>
        <w:spacing w:before="11"/>
        <w:rPr>
          <w:sz w:val="19"/>
        </w:rPr>
      </w:pPr>
    </w:p>
    <w:p>
      <w:pPr>
        <w:pStyle w:val="BodyText"/>
        <w:ind w:left="118" w:right="124" w:firstLine="288"/>
        <w:jc w:val="both"/>
      </w:pPr>
      <w:r>
        <w:rPr/>
        <w:t>El órgano jurisdiccional de amparo podrá especificar qué medidas adicionales a la inaplicación deberán adoptarse para restablecer al quejoso en el pleno goce del derecho violado.</w:t>
      </w:r>
    </w:p>
    <w:p>
      <w:pPr>
        <w:pStyle w:val="BodyText"/>
        <w:spacing w:before="8"/>
        <w:rPr>
          <w:sz w:val="19"/>
        </w:rPr>
      </w:pPr>
    </w:p>
    <w:p>
      <w:pPr>
        <w:pStyle w:val="BodyText"/>
        <w:spacing w:line="242" w:lineRule="auto"/>
        <w:ind w:left="118" w:right="125" w:firstLine="288"/>
        <w:jc w:val="both"/>
      </w:pPr>
      <w:bookmarkStart w:name="Artículo_79" w:id="79"/>
      <w:bookmarkEnd w:id="79"/>
      <w:r>
        <w:rPr/>
      </w:r>
      <w:r>
        <w:rPr>
          <w:b/>
        </w:rPr>
        <w:t>Artículo 79. </w:t>
      </w:r>
      <w:r>
        <w:rPr/>
        <w:t>La autoridad que conozca del juicio de amparo deberá suplir la deficiencia de los conceptos de violación o agravios, en los casos siguientes:</w:t>
      </w:r>
    </w:p>
    <w:p>
      <w:pPr>
        <w:pStyle w:val="BodyText"/>
        <w:spacing w:before="8"/>
        <w:rPr>
          <w:sz w:val="19"/>
        </w:rPr>
      </w:pPr>
    </w:p>
    <w:p>
      <w:pPr>
        <w:pStyle w:val="ListParagraph"/>
        <w:numPr>
          <w:ilvl w:val="0"/>
          <w:numId w:val="17"/>
        </w:numPr>
        <w:tabs>
          <w:tab w:pos="1026" w:val="left" w:leader="none"/>
        </w:tabs>
        <w:spacing w:line="240" w:lineRule="auto" w:before="0" w:after="0"/>
        <w:ind w:left="838" w:right="116" w:firstLine="0"/>
        <w:jc w:val="both"/>
        <w:rPr>
          <w:sz w:val="20"/>
        </w:rPr>
      </w:pPr>
      <w:r>
        <w:rPr>
          <w:sz w:val="20"/>
        </w:rPr>
        <w:t>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w:t>
      </w:r>
      <w:r>
        <w:rPr>
          <w:spacing w:val="-2"/>
          <w:sz w:val="20"/>
        </w:rPr>
        <w:t> </w:t>
      </w:r>
      <w:r>
        <w:rPr>
          <w:sz w:val="20"/>
        </w:rPr>
        <w:t>correspondientes;</w:t>
      </w:r>
    </w:p>
    <w:p>
      <w:pPr>
        <w:pStyle w:val="BodyText"/>
      </w:pPr>
    </w:p>
    <w:p>
      <w:pPr>
        <w:pStyle w:val="ListParagraph"/>
        <w:numPr>
          <w:ilvl w:val="0"/>
          <w:numId w:val="17"/>
        </w:numPr>
        <w:tabs>
          <w:tab w:pos="1106" w:val="left" w:leader="none"/>
        </w:tabs>
        <w:spacing w:line="242" w:lineRule="auto" w:before="0" w:after="0"/>
        <w:ind w:left="838" w:right="124" w:firstLine="0"/>
        <w:jc w:val="both"/>
        <w:rPr>
          <w:sz w:val="20"/>
        </w:rPr>
      </w:pPr>
      <w:r>
        <w:rPr>
          <w:sz w:val="20"/>
        </w:rPr>
        <w:t>En favor de los menores o incapaces, o en aquellos casos en que se afecte el orden y desarrollo de la</w:t>
      </w:r>
      <w:r>
        <w:rPr>
          <w:spacing w:val="-4"/>
          <w:sz w:val="20"/>
        </w:rPr>
        <w:t> </w:t>
      </w:r>
      <w:r>
        <w:rPr>
          <w:sz w:val="20"/>
        </w:rPr>
        <w:t>familia;</w:t>
      </w:r>
    </w:p>
    <w:p>
      <w:pPr>
        <w:pStyle w:val="BodyText"/>
        <w:spacing w:before="6"/>
        <w:rPr>
          <w:sz w:val="19"/>
        </w:rPr>
      </w:pPr>
    </w:p>
    <w:p>
      <w:pPr>
        <w:pStyle w:val="ListParagraph"/>
        <w:numPr>
          <w:ilvl w:val="0"/>
          <w:numId w:val="17"/>
        </w:numPr>
        <w:tabs>
          <w:tab w:pos="1115" w:val="left" w:leader="none"/>
        </w:tabs>
        <w:spacing w:line="240" w:lineRule="auto" w:before="1" w:after="0"/>
        <w:ind w:left="1114" w:right="0" w:hanging="277"/>
        <w:jc w:val="both"/>
        <w:rPr>
          <w:sz w:val="20"/>
        </w:rPr>
      </w:pPr>
      <w:r>
        <w:rPr>
          <w:sz w:val="20"/>
        </w:rPr>
        <w:t>En materia</w:t>
      </w:r>
      <w:r>
        <w:rPr>
          <w:spacing w:val="-3"/>
          <w:sz w:val="20"/>
        </w:rPr>
        <w:t> </w:t>
      </w:r>
      <w:r>
        <w:rPr>
          <w:sz w:val="20"/>
        </w:rPr>
        <w:t>penal:</w:t>
      </w:r>
    </w:p>
    <w:p>
      <w:pPr>
        <w:pStyle w:val="BodyText"/>
      </w:pPr>
    </w:p>
    <w:p>
      <w:pPr>
        <w:pStyle w:val="ListParagraph"/>
        <w:numPr>
          <w:ilvl w:val="1"/>
          <w:numId w:val="17"/>
        </w:numPr>
        <w:tabs>
          <w:tab w:pos="1343" w:val="left" w:leader="none"/>
        </w:tabs>
        <w:spacing w:line="240" w:lineRule="auto" w:before="1" w:after="0"/>
        <w:ind w:left="1342" w:right="0" w:hanging="233"/>
        <w:jc w:val="left"/>
        <w:rPr>
          <w:sz w:val="20"/>
        </w:rPr>
      </w:pPr>
      <w:r>
        <w:rPr>
          <w:sz w:val="20"/>
        </w:rPr>
        <w:t>En favor del inculpado o sentenciado; y</w:t>
      </w:r>
    </w:p>
    <w:p>
      <w:pPr>
        <w:pStyle w:val="BodyText"/>
      </w:pPr>
    </w:p>
    <w:p>
      <w:pPr>
        <w:pStyle w:val="ListParagraph"/>
        <w:numPr>
          <w:ilvl w:val="1"/>
          <w:numId w:val="17"/>
        </w:numPr>
        <w:tabs>
          <w:tab w:pos="1406" w:val="left" w:leader="none"/>
        </w:tabs>
        <w:spacing w:line="242" w:lineRule="auto" w:before="0" w:after="0"/>
        <w:ind w:left="1110" w:right="121" w:firstLine="0"/>
        <w:jc w:val="left"/>
        <w:rPr>
          <w:sz w:val="20"/>
        </w:rPr>
      </w:pPr>
      <w:r>
        <w:rPr>
          <w:sz w:val="20"/>
        </w:rPr>
        <w:t>En favor del ofendido o víctima en los casos en que tenga el carácter de quejoso o adherente;</w:t>
      </w:r>
    </w:p>
    <w:p>
      <w:pPr>
        <w:pStyle w:val="BodyText"/>
        <w:spacing w:before="6"/>
        <w:rPr>
          <w:sz w:val="19"/>
        </w:rPr>
      </w:pPr>
    </w:p>
    <w:p>
      <w:pPr>
        <w:pStyle w:val="ListParagraph"/>
        <w:numPr>
          <w:ilvl w:val="0"/>
          <w:numId w:val="17"/>
        </w:numPr>
        <w:tabs>
          <w:tab w:pos="1139" w:val="left" w:leader="none"/>
        </w:tabs>
        <w:spacing w:line="240" w:lineRule="auto" w:before="0" w:after="0"/>
        <w:ind w:left="1138" w:right="0" w:hanging="301"/>
        <w:jc w:val="both"/>
        <w:rPr>
          <w:sz w:val="20"/>
        </w:rPr>
      </w:pPr>
      <w:r>
        <w:rPr>
          <w:sz w:val="20"/>
        </w:rPr>
        <w:t>En materia</w:t>
      </w:r>
      <w:r>
        <w:rPr>
          <w:spacing w:val="-1"/>
          <w:sz w:val="20"/>
        </w:rPr>
        <w:t> </w:t>
      </w:r>
      <w:r>
        <w:rPr>
          <w:sz w:val="20"/>
        </w:rPr>
        <w:t>agraria:</w:t>
      </w:r>
    </w:p>
    <w:p>
      <w:pPr>
        <w:pStyle w:val="BodyText"/>
        <w:spacing w:before="1"/>
      </w:pPr>
    </w:p>
    <w:p>
      <w:pPr>
        <w:pStyle w:val="ListParagraph"/>
        <w:numPr>
          <w:ilvl w:val="1"/>
          <w:numId w:val="17"/>
        </w:numPr>
        <w:tabs>
          <w:tab w:pos="1343" w:val="left" w:leader="none"/>
        </w:tabs>
        <w:spacing w:line="240" w:lineRule="auto" w:before="0" w:after="0"/>
        <w:ind w:left="1342" w:right="0" w:hanging="233"/>
        <w:jc w:val="left"/>
        <w:rPr>
          <w:sz w:val="20"/>
        </w:rPr>
      </w:pPr>
      <w:r>
        <w:rPr>
          <w:sz w:val="20"/>
        </w:rPr>
        <w:t>En los casos a que se refiere la fracción III del artículo 17 de esta Ley;</w:t>
      </w:r>
      <w:r>
        <w:rPr>
          <w:spacing w:val="-5"/>
          <w:sz w:val="20"/>
        </w:rPr>
        <w:t> </w:t>
      </w:r>
      <w:r>
        <w:rPr>
          <w:sz w:val="20"/>
        </w:rPr>
        <w:t>y</w:t>
      </w:r>
    </w:p>
    <w:p>
      <w:pPr>
        <w:spacing w:after="0" w:line="240" w:lineRule="auto"/>
        <w:jc w:val="left"/>
        <w:rPr>
          <w:sz w:val="20"/>
        </w:rPr>
        <w:sectPr>
          <w:pgSz w:w="12240" w:h="15840"/>
          <w:pgMar w:header="708" w:footer="712" w:top="1760" w:bottom="900" w:left="1300" w:right="1300"/>
        </w:sectPr>
      </w:pPr>
    </w:p>
    <w:p>
      <w:pPr>
        <w:pStyle w:val="BodyText"/>
      </w:pPr>
    </w:p>
    <w:p>
      <w:pPr>
        <w:pStyle w:val="BodyText"/>
        <w:spacing w:before="6"/>
        <w:rPr>
          <w:sz w:val="27"/>
        </w:rPr>
      </w:pPr>
    </w:p>
    <w:p>
      <w:pPr>
        <w:pStyle w:val="ListParagraph"/>
        <w:numPr>
          <w:ilvl w:val="1"/>
          <w:numId w:val="17"/>
        </w:numPr>
        <w:tabs>
          <w:tab w:pos="1365" w:val="left" w:leader="none"/>
        </w:tabs>
        <w:spacing w:line="242" w:lineRule="auto" w:before="92" w:after="0"/>
        <w:ind w:left="1110" w:right="116" w:firstLine="0"/>
        <w:jc w:val="left"/>
        <w:rPr>
          <w:sz w:val="20"/>
        </w:rPr>
      </w:pPr>
      <w:r>
        <w:rPr>
          <w:sz w:val="20"/>
        </w:rPr>
        <w:t>En favor de los ejidatarios y comuneros en particular, cuando el acto reclamado afecte sus bienes o derechos</w:t>
      </w:r>
      <w:r>
        <w:rPr>
          <w:spacing w:val="2"/>
          <w:sz w:val="20"/>
        </w:rPr>
        <w:t> </w:t>
      </w:r>
      <w:r>
        <w:rPr>
          <w:sz w:val="20"/>
        </w:rPr>
        <w:t>agrarios.</w:t>
      </w:r>
    </w:p>
    <w:p>
      <w:pPr>
        <w:pStyle w:val="BodyText"/>
        <w:spacing w:before="8"/>
        <w:rPr>
          <w:sz w:val="19"/>
        </w:rPr>
      </w:pPr>
    </w:p>
    <w:p>
      <w:pPr>
        <w:pStyle w:val="BodyText"/>
        <w:spacing w:before="1"/>
        <w:ind w:left="838"/>
      </w:pPr>
      <w:r>
        <w:rPr/>
        <w:t>En estos casos deberá suplirse la deficiencia de la queja y la de exposiciones, comparecencias y alegatos, así como en los recursos que los mismos interpongan con motivo de dichos juicios;</w:t>
      </w:r>
    </w:p>
    <w:p>
      <w:pPr>
        <w:pStyle w:val="BodyText"/>
        <w:spacing w:before="10"/>
        <w:rPr>
          <w:sz w:val="19"/>
        </w:rPr>
      </w:pPr>
    </w:p>
    <w:p>
      <w:pPr>
        <w:pStyle w:val="ListParagraph"/>
        <w:numPr>
          <w:ilvl w:val="0"/>
          <w:numId w:val="17"/>
        </w:numPr>
        <w:tabs>
          <w:tab w:pos="1137" w:val="left" w:leader="none"/>
        </w:tabs>
        <w:spacing w:line="242" w:lineRule="auto" w:before="0" w:after="0"/>
        <w:ind w:left="838" w:right="126" w:firstLine="0"/>
        <w:jc w:val="both"/>
        <w:rPr>
          <w:sz w:val="20"/>
        </w:rPr>
      </w:pPr>
      <w:r>
        <w:rPr>
          <w:sz w:val="20"/>
        </w:rPr>
        <w:t>En materia laboral, en favor del trabajador, con independencia de que la relación</w:t>
      </w:r>
      <w:r>
        <w:rPr>
          <w:spacing w:val="15"/>
          <w:sz w:val="20"/>
        </w:rPr>
        <w:t> </w:t>
      </w:r>
      <w:r>
        <w:rPr>
          <w:sz w:val="20"/>
        </w:rPr>
        <w:t>entre empleador y empleado esté regulada por el derecho laboral o por el derecho</w:t>
      </w:r>
      <w:r>
        <w:rPr>
          <w:spacing w:val="-20"/>
          <w:sz w:val="20"/>
        </w:rPr>
        <w:t> </w:t>
      </w:r>
      <w:r>
        <w:rPr>
          <w:sz w:val="20"/>
        </w:rPr>
        <w:t>administrativo;</w:t>
      </w:r>
    </w:p>
    <w:p>
      <w:pPr>
        <w:pStyle w:val="BodyText"/>
        <w:spacing w:before="6"/>
        <w:rPr>
          <w:sz w:val="19"/>
        </w:rPr>
      </w:pPr>
    </w:p>
    <w:p>
      <w:pPr>
        <w:pStyle w:val="ListParagraph"/>
        <w:numPr>
          <w:ilvl w:val="0"/>
          <w:numId w:val="17"/>
        </w:numPr>
        <w:tabs>
          <w:tab w:pos="1161" w:val="left" w:leader="none"/>
        </w:tabs>
        <w:spacing w:line="242" w:lineRule="auto" w:before="0" w:after="0"/>
        <w:ind w:left="838" w:right="118" w:firstLine="0"/>
        <w:jc w:val="both"/>
        <w:rPr>
          <w:sz w:val="20"/>
        </w:rPr>
      </w:pPr>
      <w:r>
        <w:rPr>
          <w:sz w:val="20"/>
        </w:rPr>
        <w:t>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w:t>
      </w:r>
      <w:r>
        <w:rPr>
          <w:spacing w:val="2"/>
          <w:sz w:val="20"/>
        </w:rPr>
        <w:t> </w:t>
      </w:r>
      <w:r>
        <w:rPr>
          <w:sz w:val="20"/>
        </w:rPr>
        <w:t>y</w:t>
      </w:r>
    </w:p>
    <w:p>
      <w:pPr>
        <w:pStyle w:val="BodyText"/>
        <w:rPr>
          <w:sz w:val="19"/>
        </w:rPr>
      </w:pPr>
    </w:p>
    <w:p>
      <w:pPr>
        <w:pStyle w:val="ListParagraph"/>
        <w:numPr>
          <w:ilvl w:val="0"/>
          <w:numId w:val="17"/>
        </w:numPr>
        <w:tabs>
          <w:tab w:pos="1204" w:val="left" w:leader="none"/>
        </w:tabs>
        <w:spacing w:line="242" w:lineRule="auto" w:before="0" w:after="0"/>
        <w:ind w:left="838" w:right="124" w:firstLine="0"/>
        <w:jc w:val="both"/>
        <w:rPr>
          <w:sz w:val="20"/>
        </w:rPr>
      </w:pPr>
      <w:r>
        <w:rPr>
          <w:sz w:val="20"/>
        </w:rPr>
        <w:t>En cualquier materia, en favor de quienes por sus condiciones de pobreza o marginación se encuentren en clara desventaja social para su defensa en el</w:t>
      </w:r>
      <w:r>
        <w:rPr>
          <w:spacing w:val="-9"/>
          <w:sz w:val="20"/>
        </w:rPr>
        <w:t> </w:t>
      </w:r>
      <w:r>
        <w:rPr>
          <w:sz w:val="20"/>
        </w:rPr>
        <w:t>juicio.</w:t>
      </w:r>
    </w:p>
    <w:p>
      <w:pPr>
        <w:pStyle w:val="BodyText"/>
        <w:spacing w:before="11"/>
        <w:rPr>
          <w:sz w:val="19"/>
        </w:rPr>
      </w:pPr>
    </w:p>
    <w:p>
      <w:pPr>
        <w:pStyle w:val="BodyText"/>
        <w:ind w:left="118" w:right="124" w:firstLine="288"/>
        <w:jc w:val="both"/>
      </w:pPr>
      <w:r>
        <w:rPr/>
        <w:t>En los casos de las fracciones I, II, III, IV, V y VII de este artículo la suplencia se dará aún ante la ausencia de conceptos de violación o agravios. En estos casos solo se expresará en las sentencias cuando la suplencia derive de un beneficio.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right="127" w:firstLine="288"/>
        <w:jc w:val="both"/>
      </w:pPr>
      <w:r>
        <w:rPr/>
        <w:t>La suplencia de la queja por violaciones procesales o formales sólo podrá operar cuando se advierta que en el acto reclamado no existe algún vicio de fondo.</w:t>
      </w:r>
    </w:p>
    <w:p>
      <w:pPr>
        <w:pStyle w:val="BodyText"/>
        <w:spacing w:before="8"/>
        <w:rPr>
          <w:sz w:val="19"/>
        </w:rPr>
      </w:pPr>
    </w:p>
    <w:p>
      <w:pPr>
        <w:pStyle w:val="Heading1"/>
      </w:pPr>
      <w:r>
        <w:rPr/>
        <w:t>CAPÍTULO XI</w:t>
      </w:r>
    </w:p>
    <w:p>
      <w:pPr>
        <w:spacing w:before="2"/>
        <w:ind w:left="606" w:right="605" w:firstLine="0"/>
        <w:jc w:val="center"/>
        <w:rPr>
          <w:b/>
          <w:sz w:val="22"/>
        </w:rPr>
      </w:pPr>
      <w:r>
        <w:rPr>
          <w:b/>
          <w:sz w:val="22"/>
        </w:rPr>
        <w:t>Medios de Impugnación</w:t>
      </w:r>
    </w:p>
    <w:p>
      <w:pPr>
        <w:pStyle w:val="BodyText"/>
        <w:spacing w:before="10"/>
        <w:rPr>
          <w:b/>
          <w:sz w:val="19"/>
        </w:rPr>
      </w:pPr>
    </w:p>
    <w:p>
      <w:pPr>
        <w:pStyle w:val="BodyText"/>
        <w:spacing w:line="242" w:lineRule="auto"/>
        <w:ind w:left="118" w:right="124" w:firstLine="288"/>
        <w:jc w:val="both"/>
      </w:pPr>
      <w:bookmarkStart w:name="Artículo_80" w:id="80"/>
      <w:bookmarkEnd w:id="80"/>
      <w:r>
        <w:rPr/>
      </w:r>
      <w:r>
        <w:rPr>
          <w:b/>
        </w:rPr>
        <w:t>Artículo 80. </w:t>
      </w:r>
      <w:r>
        <w:rPr/>
        <w:t>En el juicio de amparo sólo se admitirán los recursos de revisión, queja y reclamación; y tratándose del cumplimiento de sentencia, el de inconformidad.</w:t>
      </w:r>
    </w:p>
    <w:p>
      <w:pPr>
        <w:pStyle w:val="BodyText"/>
        <w:spacing w:before="8"/>
        <w:rPr>
          <w:sz w:val="19"/>
        </w:rPr>
      </w:pPr>
    </w:p>
    <w:p>
      <w:pPr>
        <w:pStyle w:val="BodyText"/>
        <w:ind w:left="118" w:right="117" w:firstLine="288"/>
        <w:jc w:val="both"/>
      </w:pPr>
      <w:r>
        <w:rP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pPr>
        <w:pStyle w:val="BodyText"/>
        <w:spacing w:before="1"/>
      </w:pPr>
    </w:p>
    <w:p>
      <w:pPr>
        <w:pStyle w:val="BodyText"/>
        <w:ind w:left="118" w:right="116" w:firstLine="288"/>
        <w:jc w:val="both"/>
      </w:pPr>
      <w:r>
        <w:rPr/>
        <w:t>Para el caso de que los recursos se presenten de manera electrónica, se podrá acceder al expediente de esa misma forma.</w:t>
      </w:r>
    </w:p>
    <w:p>
      <w:pPr>
        <w:pStyle w:val="BodyText"/>
        <w:spacing w:before="10"/>
        <w:rPr>
          <w:sz w:val="11"/>
        </w:rPr>
      </w:pPr>
    </w:p>
    <w:p>
      <w:pPr>
        <w:pStyle w:val="Heading1"/>
        <w:spacing w:before="93"/>
        <w:ind w:left="3731" w:right="3727" w:firstLine="2"/>
      </w:pPr>
      <w:r>
        <w:rPr/>
        <w:t>Sección Primera Recurso de Revisión</w:t>
      </w:r>
    </w:p>
    <w:p>
      <w:pPr>
        <w:pStyle w:val="BodyText"/>
        <w:spacing w:before="10"/>
        <w:rPr>
          <w:b/>
          <w:sz w:val="19"/>
        </w:rPr>
      </w:pPr>
    </w:p>
    <w:p>
      <w:pPr>
        <w:spacing w:before="0"/>
        <w:ind w:left="406" w:right="0" w:firstLine="0"/>
        <w:jc w:val="left"/>
        <w:rPr>
          <w:sz w:val="20"/>
        </w:rPr>
      </w:pPr>
      <w:bookmarkStart w:name="Artículo_81" w:id="81"/>
      <w:bookmarkEnd w:id="81"/>
      <w:r>
        <w:rPr/>
      </w:r>
      <w:r>
        <w:rPr>
          <w:b/>
          <w:sz w:val="20"/>
        </w:rPr>
        <w:t>Artículo 81. </w:t>
      </w:r>
      <w:r>
        <w:rPr>
          <w:sz w:val="20"/>
        </w:rPr>
        <w:t>Procede el recurso de revisión:</w:t>
      </w:r>
    </w:p>
    <w:p>
      <w:pPr>
        <w:pStyle w:val="BodyText"/>
      </w:pPr>
    </w:p>
    <w:p>
      <w:pPr>
        <w:pStyle w:val="ListParagraph"/>
        <w:numPr>
          <w:ilvl w:val="0"/>
          <w:numId w:val="18"/>
        </w:numPr>
        <w:tabs>
          <w:tab w:pos="1005" w:val="left" w:leader="none"/>
        </w:tabs>
        <w:spacing w:line="240" w:lineRule="auto" w:before="1" w:after="0"/>
        <w:ind w:left="1004" w:right="0" w:hanging="167"/>
        <w:jc w:val="left"/>
        <w:rPr>
          <w:sz w:val="20"/>
        </w:rPr>
      </w:pPr>
      <w:r>
        <w:rPr>
          <w:sz w:val="20"/>
        </w:rPr>
        <w:t>En amparo indirecto, en contra de las resoluciones</w:t>
      </w:r>
      <w:r>
        <w:rPr>
          <w:spacing w:val="-5"/>
          <w:sz w:val="20"/>
        </w:rPr>
        <w:t> </w:t>
      </w:r>
      <w:r>
        <w:rPr>
          <w:sz w:val="20"/>
        </w:rPr>
        <w:t>siguientes:</w:t>
      </w:r>
    </w:p>
    <w:p>
      <w:pPr>
        <w:pStyle w:val="BodyText"/>
        <w:spacing w:before="9"/>
        <w:rPr>
          <w:sz w:val="19"/>
        </w:rPr>
      </w:pPr>
    </w:p>
    <w:p>
      <w:pPr>
        <w:pStyle w:val="ListParagraph"/>
        <w:numPr>
          <w:ilvl w:val="1"/>
          <w:numId w:val="18"/>
        </w:numPr>
        <w:tabs>
          <w:tab w:pos="1370" w:val="left" w:leader="none"/>
        </w:tabs>
        <w:spacing w:line="242" w:lineRule="auto" w:before="1" w:after="0"/>
        <w:ind w:left="1117" w:right="119" w:firstLine="9"/>
        <w:jc w:val="left"/>
        <w:rPr>
          <w:sz w:val="20"/>
        </w:rPr>
      </w:pPr>
      <w:r>
        <w:rPr>
          <w:sz w:val="20"/>
        </w:rPr>
        <w:t>Las que concedan o nieguen la suspensión definitiva; en su caso, deberán impugnarse los acuerdos pronunciados en la audiencia</w:t>
      </w:r>
      <w:r>
        <w:rPr>
          <w:spacing w:val="-3"/>
          <w:sz w:val="20"/>
        </w:rPr>
        <w:t> </w:t>
      </w:r>
      <w:r>
        <w:rPr>
          <w:sz w:val="20"/>
        </w:rPr>
        <w:t>incidental;</w:t>
      </w:r>
    </w:p>
    <w:p>
      <w:pPr>
        <w:spacing w:after="0" w:line="242" w:lineRule="auto"/>
        <w:jc w:val="left"/>
        <w:rPr>
          <w:sz w:val="20"/>
        </w:rPr>
        <w:sectPr>
          <w:pgSz w:w="12240" w:h="15840"/>
          <w:pgMar w:header="708" w:footer="712" w:top="1760" w:bottom="900" w:left="1300" w:right="1300"/>
        </w:sectPr>
      </w:pPr>
    </w:p>
    <w:p>
      <w:pPr>
        <w:pStyle w:val="BodyText"/>
      </w:pPr>
    </w:p>
    <w:p>
      <w:pPr>
        <w:pStyle w:val="BodyText"/>
        <w:spacing w:before="6"/>
        <w:rPr>
          <w:sz w:val="27"/>
        </w:rPr>
      </w:pPr>
    </w:p>
    <w:p>
      <w:pPr>
        <w:pStyle w:val="ListParagraph"/>
        <w:numPr>
          <w:ilvl w:val="1"/>
          <w:numId w:val="18"/>
        </w:numPr>
        <w:tabs>
          <w:tab w:pos="1406" w:val="left" w:leader="none"/>
        </w:tabs>
        <w:spacing w:line="242" w:lineRule="auto" w:before="92" w:after="0"/>
        <w:ind w:left="1117" w:right="116" w:firstLine="9"/>
        <w:jc w:val="both"/>
        <w:rPr>
          <w:sz w:val="20"/>
        </w:rPr>
      </w:pPr>
      <w:r>
        <w:rPr>
          <w:sz w:val="20"/>
        </w:rPr>
        <w:t>Las que modifiquen o revoquen el acuerdo en que se conceda o niegue la suspensión definitiva, o las que nieguen la revocación o modificación de esos autos; en su caso, deberán impugnarse los acuerdos pronunciados en la audiencia</w:t>
      </w:r>
      <w:r>
        <w:rPr>
          <w:spacing w:val="-1"/>
          <w:sz w:val="20"/>
        </w:rPr>
        <w:t> </w:t>
      </w:r>
      <w:r>
        <w:rPr>
          <w:sz w:val="20"/>
        </w:rPr>
        <w:t>correspondiente;</w:t>
      </w:r>
    </w:p>
    <w:p>
      <w:pPr>
        <w:pStyle w:val="BodyText"/>
        <w:spacing w:before="4"/>
        <w:rPr>
          <w:sz w:val="19"/>
        </w:rPr>
      </w:pPr>
    </w:p>
    <w:p>
      <w:pPr>
        <w:pStyle w:val="ListParagraph"/>
        <w:numPr>
          <w:ilvl w:val="1"/>
          <w:numId w:val="18"/>
        </w:numPr>
        <w:tabs>
          <w:tab w:pos="1360" w:val="left" w:leader="none"/>
        </w:tabs>
        <w:spacing w:line="240" w:lineRule="auto" w:before="0" w:after="0"/>
        <w:ind w:left="1359" w:right="0" w:hanging="234"/>
        <w:jc w:val="both"/>
        <w:rPr>
          <w:sz w:val="20"/>
        </w:rPr>
      </w:pPr>
      <w:r>
        <w:rPr>
          <w:sz w:val="20"/>
        </w:rPr>
        <w:t>Las que decidan el incidente de reposición de constancias de</w:t>
      </w:r>
      <w:r>
        <w:rPr>
          <w:spacing w:val="-7"/>
          <w:sz w:val="20"/>
        </w:rPr>
        <w:t> </w:t>
      </w:r>
      <w:r>
        <w:rPr>
          <w:sz w:val="20"/>
        </w:rPr>
        <w:t>autos;</w:t>
      </w:r>
    </w:p>
    <w:p>
      <w:pPr>
        <w:pStyle w:val="BodyText"/>
        <w:spacing w:before="1"/>
      </w:pPr>
    </w:p>
    <w:p>
      <w:pPr>
        <w:pStyle w:val="ListParagraph"/>
        <w:numPr>
          <w:ilvl w:val="1"/>
          <w:numId w:val="18"/>
        </w:numPr>
        <w:tabs>
          <w:tab w:pos="1372" w:val="left" w:leader="none"/>
        </w:tabs>
        <w:spacing w:line="240" w:lineRule="auto" w:before="0" w:after="0"/>
        <w:ind w:left="1371" w:right="0" w:hanging="246"/>
        <w:jc w:val="both"/>
        <w:rPr>
          <w:sz w:val="20"/>
        </w:rPr>
      </w:pPr>
      <w:r>
        <w:rPr>
          <w:sz w:val="20"/>
        </w:rPr>
        <w:t>Las que declaren el sobreseimiento fuera de la audiencia constitucional;</w:t>
      </w:r>
      <w:r>
        <w:rPr>
          <w:spacing w:val="-4"/>
          <w:sz w:val="20"/>
        </w:rPr>
        <w:t> </w:t>
      </w:r>
      <w:r>
        <w:rPr>
          <w:sz w:val="20"/>
        </w:rPr>
        <w:t>y</w:t>
      </w:r>
    </w:p>
    <w:p>
      <w:pPr>
        <w:pStyle w:val="BodyText"/>
        <w:spacing w:before="10"/>
        <w:rPr>
          <w:sz w:val="19"/>
        </w:rPr>
      </w:pPr>
    </w:p>
    <w:p>
      <w:pPr>
        <w:pStyle w:val="ListParagraph"/>
        <w:numPr>
          <w:ilvl w:val="1"/>
          <w:numId w:val="18"/>
        </w:numPr>
        <w:tabs>
          <w:tab w:pos="1362" w:val="left" w:leader="none"/>
        </w:tabs>
        <w:spacing w:line="242" w:lineRule="auto" w:before="0" w:after="0"/>
        <w:ind w:left="1117" w:right="122" w:firstLine="9"/>
        <w:jc w:val="both"/>
        <w:rPr>
          <w:sz w:val="20"/>
        </w:rPr>
      </w:pPr>
      <w:r>
        <w:rPr>
          <w:sz w:val="20"/>
        </w:rPr>
        <w:t>Las sentencias dictadas en la audiencia constitucional; en su caso, deberán impugnarse los acuerdos pronunciados en la propia</w:t>
      </w:r>
      <w:r>
        <w:rPr>
          <w:spacing w:val="-2"/>
          <w:sz w:val="20"/>
        </w:rPr>
        <w:t> </w:t>
      </w:r>
      <w:r>
        <w:rPr>
          <w:sz w:val="20"/>
        </w:rPr>
        <w:t>audiencia.</w:t>
      </w:r>
    </w:p>
    <w:p>
      <w:pPr>
        <w:pStyle w:val="BodyText"/>
        <w:spacing w:before="8"/>
        <w:rPr>
          <w:sz w:val="19"/>
        </w:rPr>
      </w:pPr>
    </w:p>
    <w:p>
      <w:pPr>
        <w:pStyle w:val="ListParagraph"/>
        <w:numPr>
          <w:ilvl w:val="0"/>
          <w:numId w:val="18"/>
        </w:numPr>
        <w:tabs>
          <w:tab w:pos="1082" w:val="left" w:leader="none"/>
        </w:tabs>
        <w:spacing w:line="240" w:lineRule="auto" w:before="0" w:after="0"/>
        <w:ind w:left="838" w:right="118" w:firstLine="0"/>
        <w:jc w:val="both"/>
        <w:rPr>
          <w:sz w:val="20"/>
        </w:rPr>
      </w:pPr>
      <w:r>
        <w:rPr>
          <w:sz w:val="20"/>
        </w:rPr>
        <w:t>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w:t>
      </w:r>
      <w:r>
        <w:rPr>
          <w:spacing w:val="4"/>
          <w:sz w:val="20"/>
        </w:rPr>
        <w:t> </w:t>
      </w:r>
      <w:r>
        <w:rPr>
          <w:sz w:val="20"/>
        </w:rPr>
        <w:t>pleno.</w:t>
      </w:r>
    </w:p>
    <w:p>
      <w:pPr>
        <w:pStyle w:val="BodyText"/>
        <w:spacing w:before="4"/>
      </w:pPr>
    </w:p>
    <w:p>
      <w:pPr>
        <w:pStyle w:val="BodyText"/>
        <w:ind w:left="118" w:right="117" w:firstLine="288"/>
        <w:jc w:val="both"/>
      </w:pPr>
      <w:r>
        <w:rPr/>
        <w:t>La materia del recurso se limitará a la decisión de las cuestiones propiamente constitucionales, sin poder comprender otras.</w:t>
      </w:r>
    </w:p>
    <w:p>
      <w:pPr>
        <w:pStyle w:val="BodyText"/>
        <w:spacing w:before="8"/>
        <w:rPr>
          <w:sz w:val="19"/>
        </w:rPr>
      </w:pPr>
    </w:p>
    <w:p>
      <w:pPr>
        <w:pStyle w:val="BodyText"/>
        <w:spacing w:line="242" w:lineRule="auto"/>
        <w:ind w:left="118" w:right="116" w:firstLine="288"/>
        <w:jc w:val="both"/>
      </w:pPr>
      <w:bookmarkStart w:name="Artículo_82" w:id="82"/>
      <w:bookmarkEnd w:id="82"/>
      <w:r>
        <w:rPr/>
      </w:r>
      <w:r>
        <w:rPr>
          <w:b/>
        </w:rPr>
        <w:t>Artículo 82. </w:t>
      </w:r>
      <w:r>
        <w:rPr/>
        <w:t>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pPr>
        <w:pStyle w:val="BodyText"/>
        <w:spacing w:before="2"/>
        <w:rPr>
          <w:sz w:val="19"/>
        </w:rPr>
      </w:pPr>
    </w:p>
    <w:p>
      <w:pPr>
        <w:pStyle w:val="BodyText"/>
        <w:spacing w:before="1"/>
        <w:ind w:left="118" w:right="116" w:firstLine="288"/>
        <w:jc w:val="both"/>
      </w:pPr>
      <w:bookmarkStart w:name="Artículo_83" w:id="83"/>
      <w:bookmarkEnd w:id="83"/>
      <w:r>
        <w:rPr/>
      </w:r>
      <w:r>
        <w:rPr>
          <w:b/>
        </w:rPr>
        <w:t>Artículo 83. </w:t>
      </w:r>
      <w:r>
        <w:rPr/>
        <w:t>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pPr>
        <w:pStyle w:val="BodyText"/>
        <w:spacing w:before="2"/>
      </w:pPr>
    </w:p>
    <w:p>
      <w:pPr>
        <w:pStyle w:val="BodyText"/>
        <w:ind w:left="118" w:right="118" w:firstLine="288"/>
        <w:jc w:val="both"/>
      </w:pPr>
      <w:r>
        <w:rPr/>
        <w:t>El pleno de la Suprema Corte de Justicia de la Nación, mediante acuerdos generales, distribuirá entre las salas los asuntos de su competencia o remitirá a los tribunales colegiados de circuito los que, conforme a los referidos acuerdos, la propia Corte determine.</w:t>
      </w:r>
    </w:p>
    <w:p>
      <w:pPr>
        <w:pStyle w:val="BodyText"/>
        <w:spacing w:before="8"/>
        <w:rPr>
          <w:sz w:val="19"/>
        </w:rPr>
      </w:pPr>
    </w:p>
    <w:p>
      <w:pPr>
        <w:pStyle w:val="BodyText"/>
        <w:spacing w:line="242" w:lineRule="auto"/>
        <w:ind w:left="118" w:right="117" w:firstLine="288"/>
        <w:jc w:val="both"/>
      </w:pPr>
      <w:bookmarkStart w:name="Artículo_84" w:id="84"/>
      <w:bookmarkEnd w:id="84"/>
      <w:r>
        <w:rPr/>
      </w:r>
      <w:r>
        <w:rPr>
          <w:b/>
        </w:rPr>
        <w:t>Artículo 84. </w:t>
      </w:r>
      <w:r>
        <w:rPr/>
        <w:t>Son competentes los tribunales colegiados de circuito para conocer del recurso de revisión en los casos no previstos en el artículo anterior. Las sentencias que dicten en estos casos no admitirán recurso alguno.</w:t>
      </w:r>
    </w:p>
    <w:p>
      <w:pPr>
        <w:pStyle w:val="BodyText"/>
        <w:spacing w:before="7"/>
        <w:rPr>
          <w:sz w:val="19"/>
        </w:rPr>
      </w:pPr>
    </w:p>
    <w:p>
      <w:pPr>
        <w:pStyle w:val="BodyText"/>
        <w:ind w:left="118" w:right="110" w:firstLine="288"/>
        <w:jc w:val="both"/>
      </w:pPr>
      <w:bookmarkStart w:name="Artículo_85" w:id="85"/>
      <w:bookmarkEnd w:id="85"/>
      <w:r>
        <w:rPr/>
      </w:r>
      <w:r>
        <w:rPr>
          <w:b/>
        </w:rPr>
        <w:t>Artículo 85. </w:t>
      </w:r>
      <w:r>
        <w:rPr/>
        <w:t>Cuando la Suprema Corte de Justicia de la Nación estime que un amparo en revisión, por sus características especiales deba ser de su conocimiento, lo atraerá oficiosamente conforme al procedimiento establecido en el artículo 40 de esta Ley.</w:t>
      </w:r>
    </w:p>
    <w:p>
      <w:pPr>
        <w:pStyle w:val="BodyText"/>
        <w:spacing w:before="2"/>
      </w:pPr>
    </w:p>
    <w:p>
      <w:pPr>
        <w:pStyle w:val="BodyText"/>
        <w:ind w:left="118" w:right="117" w:firstLine="288"/>
        <w:jc w:val="both"/>
      </w:pPr>
      <w:r>
        <w:rPr/>
        <w:t>El tribunal colegiado del conocimiento podrá solicitar a la Suprema Corte de Justicia de la Nación que ejercite la facultad de atracción, para lo cual expresará las razones en que funde su petición y remitirá los autos originales a ésta, quien dentro de los treinta días siguientes al recibo de los autos originales, resolverá si ejercita la facultad de atracción, procediendo en consecuencia en los términos del párrafo anterior.</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2" w:firstLine="288"/>
        <w:jc w:val="both"/>
      </w:pPr>
      <w:bookmarkStart w:name="Artículo_86" w:id="86"/>
      <w:bookmarkEnd w:id="86"/>
      <w:r>
        <w:rPr/>
      </w:r>
      <w:r>
        <w:rPr>
          <w:b/>
        </w:rPr>
        <w:t>Artículo 86. </w:t>
      </w:r>
      <w:r>
        <w:rPr/>
        <w:t>El recurso de revisión se interpondrá en el plazo de diez días por conducto del órgano jurisdiccional que haya dictado la resolución recurrida.</w:t>
      </w:r>
    </w:p>
    <w:p>
      <w:pPr>
        <w:pStyle w:val="BodyText"/>
        <w:spacing w:before="10"/>
        <w:rPr>
          <w:sz w:val="19"/>
        </w:rPr>
      </w:pPr>
    </w:p>
    <w:p>
      <w:pPr>
        <w:pStyle w:val="BodyText"/>
        <w:spacing w:before="1"/>
        <w:ind w:left="118" w:right="127" w:firstLine="288"/>
        <w:jc w:val="both"/>
      </w:pPr>
      <w:r>
        <w:rPr/>
        <w:t>La interposición del recurso por conducto de órgano diferente al señalado en el párrafo anterior no interrumpirá el plazo de presentación.</w:t>
      </w:r>
    </w:p>
    <w:p>
      <w:pPr>
        <w:pStyle w:val="BodyText"/>
        <w:spacing w:before="7"/>
        <w:rPr>
          <w:sz w:val="19"/>
        </w:rPr>
      </w:pPr>
    </w:p>
    <w:p>
      <w:pPr>
        <w:pStyle w:val="BodyText"/>
        <w:spacing w:before="1"/>
        <w:ind w:left="118" w:right="122" w:firstLine="288"/>
        <w:jc w:val="both"/>
      </w:pPr>
      <w:bookmarkStart w:name="Artículo_87" w:id="87"/>
      <w:bookmarkEnd w:id="87"/>
      <w:r>
        <w:rPr/>
      </w:r>
      <w:r>
        <w:rPr>
          <w:b/>
        </w:rPr>
        <w:t>Artículo 87. </w:t>
      </w:r>
      <w:r>
        <w:rPr/>
        <w:t>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pPr>
        <w:pStyle w:val="BodyText"/>
        <w:spacing w:before="1"/>
      </w:pPr>
    </w:p>
    <w:p>
      <w:pPr>
        <w:pStyle w:val="BodyText"/>
        <w:spacing w:before="1"/>
        <w:ind w:left="118" w:right="120" w:firstLine="288"/>
        <w:jc w:val="both"/>
      </w:pPr>
      <w:r>
        <w:rPr/>
        <w:t>Las autoridades judiciales o jurisdiccionales carecen de legitimación para recurrir las sentencias que declaren la inconstitucionalidad del acto reclamado, cuando éste se hubiera emitido en ejercicio de la potestad jurisdiccional.</w:t>
      </w:r>
    </w:p>
    <w:p>
      <w:pPr>
        <w:pStyle w:val="BodyText"/>
        <w:spacing w:before="8"/>
        <w:rPr>
          <w:sz w:val="19"/>
        </w:rPr>
      </w:pPr>
    </w:p>
    <w:p>
      <w:pPr>
        <w:pStyle w:val="BodyText"/>
        <w:spacing w:line="242" w:lineRule="auto" w:before="1"/>
        <w:ind w:left="118" w:right="126" w:firstLine="288"/>
        <w:jc w:val="both"/>
      </w:pPr>
      <w:bookmarkStart w:name="Artículo_88" w:id="88"/>
      <w:bookmarkEnd w:id="88"/>
      <w:r>
        <w:rPr/>
      </w:r>
      <w:r>
        <w:rPr>
          <w:b/>
        </w:rPr>
        <w:t>Artículo 88. </w:t>
      </w:r>
      <w:r>
        <w:rPr/>
        <w:t>El recurso de revisión se interpondrá por escrito en el que se expresarán los agravios que cause la resolución impugnada.</w:t>
      </w:r>
    </w:p>
    <w:p>
      <w:pPr>
        <w:pStyle w:val="BodyText"/>
        <w:spacing w:before="10"/>
        <w:rPr>
          <w:sz w:val="19"/>
        </w:rPr>
      </w:pPr>
    </w:p>
    <w:p>
      <w:pPr>
        <w:pStyle w:val="BodyText"/>
        <w:ind w:left="118" w:right="122" w:firstLine="288"/>
        <w:jc w:val="both"/>
      </w:pPr>
      <w:r>
        <w:rP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pPr>
        <w:pStyle w:val="BodyText"/>
      </w:pPr>
    </w:p>
    <w:p>
      <w:pPr>
        <w:pStyle w:val="BodyText"/>
        <w:ind w:left="118" w:right="125" w:firstLine="288"/>
        <w:jc w:val="both"/>
      </w:pPr>
      <w:r>
        <w:rPr/>
        <w:t>En caso de que el escrito de expresión de agravios se presente en forma impresa, el recurrente deberá exhibir una copia del mismo para el expediente y una para cada una de las partes. Esta exigencia no será necesaria en los casos que el recurso se presente en forma</w:t>
      </w:r>
      <w:r>
        <w:rPr>
          <w:spacing w:val="-9"/>
        </w:rPr>
        <w:t> </w:t>
      </w:r>
      <w:r>
        <w:rPr/>
        <w:t>electrónica.</w:t>
      </w:r>
    </w:p>
    <w:p>
      <w:pPr>
        <w:pStyle w:val="BodyText"/>
      </w:pPr>
    </w:p>
    <w:p>
      <w:pPr>
        <w:pStyle w:val="BodyText"/>
        <w:ind w:left="118" w:right="116" w:firstLine="288"/>
        <w:jc w:val="both"/>
      </w:pPr>
      <w:r>
        <w:rPr/>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w:t>
      </w:r>
      <w:r>
        <w:rPr>
          <w:spacing w:val="-2"/>
        </w:rPr>
        <w:t> </w:t>
      </w:r>
      <w:r>
        <w:rPr/>
        <w:t>correspondientes.</w:t>
      </w:r>
    </w:p>
    <w:p>
      <w:pPr>
        <w:pStyle w:val="BodyText"/>
        <w:spacing w:before="10"/>
        <w:rPr>
          <w:sz w:val="19"/>
        </w:rPr>
      </w:pPr>
    </w:p>
    <w:p>
      <w:pPr>
        <w:pStyle w:val="BodyText"/>
        <w:ind w:left="118" w:right="119" w:firstLine="288"/>
        <w:jc w:val="both"/>
      </w:pPr>
      <w:bookmarkStart w:name="Artículo_89" w:id="89"/>
      <w:bookmarkEnd w:id="89"/>
      <w:r>
        <w:rPr/>
      </w:r>
      <w:r>
        <w:rPr>
          <w:b/>
        </w:rPr>
        <w:t>Artículo 89. </w:t>
      </w:r>
      <w:r>
        <w:rPr/>
        <w:t>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pPr>
        <w:pStyle w:val="BodyText"/>
        <w:spacing w:before="1"/>
      </w:pPr>
    </w:p>
    <w:p>
      <w:pPr>
        <w:pStyle w:val="BodyText"/>
        <w:ind w:left="118" w:right="116" w:firstLine="288"/>
        <w:jc w:val="both"/>
      </w:pPr>
      <w:bookmarkStart w:name="Artículo_90" w:id="90"/>
      <w:bookmarkEnd w:id="90"/>
      <w:r>
        <w:rPr/>
      </w:r>
      <w:r>
        <w:rPr>
          <w:b/>
        </w:rPr>
        <w:t>Artículo 90. </w:t>
      </w:r>
      <w:r>
        <w:rPr/>
        <w:t>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pPr>
        <w:pStyle w:val="BodyText"/>
      </w:pPr>
    </w:p>
    <w:p>
      <w:pPr>
        <w:pStyle w:val="BodyText"/>
        <w:ind w:left="118" w:right="127" w:firstLine="288"/>
        <w:jc w:val="both"/>
      </w:pPr>
      <w:bookmarkStart w:name="Artículo_91" w:id="91"/>
      <w:bookmarkEnd w:id="91"/>
      <w:r>
        <w:rPr/>
      </w:r>
      <w:r>
        <w:rPr>
          <w:b/>
        </w:rPr>
        <w:t>Artículo 91. </w:t>
      </w:r>
      <w:r>
        <w:rPr/>
        <w:t>El presidente del órgano jurisdiccional, según corresponda, dentro de los tres siguientes días a su recepción calificará la procedencia del recurso y lo admitirá o desechará.</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19" w:firstLine="288"/>
        <w:jc w:val="both"/>
      </w:pPr>
      <w:bookmarkStart w:name="Artículo_92" w:id="92"/>
      <w:bookmarkEnd w:id="92"/>
      <w:r>
        <w:rPr/>
      </w:r>
      <w:r>
        <w:rPr>
          <w:b/>
        </w:rPr>
        <w:t>Artículo 92. </w:t>
      </w:r>
      <w:r>
        <w:rPr/>
        <w:t>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pPr>
        <w:pStyle w:val="BodyText"/>
        <w:spacing w:before="4"/>
        <w:rPr>
          <w:sz w:val="19"/>
        </w:rPr>
      </w:pPr>
    </w:p>
    <w:p>
      <w:pPr>
        <w:pStyle w:val="BodyText"/>
        <w:spacing w:line="242" w:lineRule="auto"/>
        <w:ind w:left="118" w:right="125" w:firstLine="288"/>
        <w:jc w:val="both"/>
      </w:pPr>
      <w:bookmarkStart w:name="Artículo_93" w:id="93"/>
      <w:bookmarkEnd w:id="93"/>
      <w:r>
        <w:rPr/>
      </w:r>
      <w:r>
        <w:rPr>
          <w:b/>
        </w:rPr>
        <w:t>Artículo 93. </w:t>
      </w:r>
      <w:r>
        <w:rPr/>
        <w:t>Al conocer de los asuntos en revisión, el órgano jurisdiccional observará las reglas siguientes:</w:t>
      </w:r>
    </w:p>
    <w:p>
      <w:pPr>
        <w:pStyle w:val="BodyText"/>
        <w:spacing w:before="8"/>
        <w:rPr>
          <w:sz w:val="19"/>
        </w:rPr>
      </w:pPr>
    </w:p>
    <w:p>
      <w:pPr>
        <w:pStyle w:val="ListParagraph"/>
        <w:numPr>
          <w:ilvl w:val="0"/>
          <w:numId w:val="19"/>
        </w:numPr>
        <w:tabs>
          <w:tab w:pos="1038" w:val="left" w:leader="none"/>
        </w:tabs>
        <w:spacing w:line="242" w:lineRule="auto" w:before="0" w:after="0"/>
        <w:ind w:left="838" w:right="117" w:firstLine="0"/>
        <w:jc w:val="both"/>
        <w:rPr>
          <w:sz w:val="20"/>
        </w:rPr>
      </w:pPr>
      <w:r>
        <w:rPr>
          <w:sz w:val="20"/>
        </w:rPr>
        <w:t>Si quien recurre es el quejoso, examinará, en </w:t>
      </w:r>
      <w:r>
        <w:rPr>
          <w:spacing w:val="2"/>
          <w:sz w:val="20"/>
        </w:rPr>
        <w:t>primer </w:t>
      </w:r>
      <w:r>
        <w:rPr>
          <w:sz w:val="20"/>
        </w:rPr>
        <w:t>término, los agravios hechos valer en contra del sobreseimiento decretado en la resolución</w:t>
      </w:r>
      <w:r>
        <w:rPr>
          <w:spacing w:val="-7"/>
          <w:sz w:val="20"/>
        </w:rPr>
        <w:t> </w:t>
      </w:r>
      <w:r>
        <w:rPr>
          <w:sz w:val="20"/>
        </w:rPr>
        <w:t>recurrida.</w:t>
      </w:r>
    </w:p>
    <w:p>
      <w:pPr>
        <w:pStyle w:val="BodyText"/>
        <w:spacing w:before="8"/>
        <w:rPr>
          <w:sz w:val="19"/>
        </w:rPr>
      </w:pPr>
    </w:p>
    <w:p>
      <w:pPr>
        <w:pStyle w:val="BodyText"/>
        <w:ind w:left="838" w:right="115"/>
        <w:jc w:val="both"/>
      </w:pPr>
      <w:r>
        <w:rPr/>
        <w:t>Si los agravios son fundados, examinará las causales de sobreseimiento invocadas y no estudiadas por el órgano jurisdiccional de amparo de primera instancia, o surgidas con posterioridad a la resolución impugnada;</w:t>
      </w:r>
    </w:p>
    <w:p>
      <w:pPr>
        <w:pStyle w:val="BodyText"/>
      </w:pPr>
    </w:p>
    <w:p>
      <w:pPr>
        <w:pStyle w:val="ListParagraph"/>
        <w:numPr>
          <w:ilvl w:val="0"/>
          <w:numId w:val="19"/>
        </w:numPr>
        <w:tabs>
          <w:tab w:pos="1096" w:val="left" w:leader="none"/>
        </w:tabs>
        <w:spacing w:line="240" w:lineRule="auto" w:before="0" w:after="0"/>
        <w:ind w:left="838" w:right="121" w:firstLine="0"/>
        <w:jc w:val="both"/>
        <w:rPr>
          <w:sz w:val="20"/>
        </w:rPr>
      </w:pPr>
      <w:r>
        <w:rPr>
          <w:sz w:val="20"/>
        </w:rPr>
        <w:t>Si quien recurre es la autoridad responsable o el tercero interesado, examinará, en primer término, los agravios en contra de la omisión o negativa a decretar el sobreseimiento; si son fundados se revocará la resolución</w:t>
      </w:r>
      <w:r>
        <w:rPr>
          <w:spacing w:val="-2"/>
          <w:sz w:val="20"/>
        </w:rPr>
        <w:t> </w:t>
      </w:r>
      <w:r>
        <w:rPr>
          <w:sz w:val="20"/>
        </w:rPr>
        <w:t>recurrida;</w:t>
      </w:r>
    </w:p>
    <w:p>
      <w:pPr>
        <w:pStyle w:val="BodyText"/>
        <w:spacing w:before="11"/>
        <w:rPr>
          <w:sz w:val="19"/>
        </w:rPr>
      </w:pPr>
    </w:p>
    <w:p>
      <w:pPr>
        <w:pStyle w:val="ListParagraph"/>
        <w:numPr>
          <w:ilvl w:val="0"/>
          <w:numId w:val="19"/>
        </w:numPr>
        <w:tabs>
          <w:tab w:pos="1137" w:val="left" w:leader="none"/>
        </w:tabs>
        <w:spacing w:line="242" w:lineRule="auto" w:before="0" w:after="0"/>
        <w:ind w:left="838" w:right="121" w:firstLine="0"/>
        <w:jc w:val="both"/>
        <w:rPr>
          <w:sz w:val="20"/>
        </w:rPr>
      </w:pPr>
      <w:r>
        <w:rPr>
          <w:sz w:val="20"/>
        </w:rPr>
        <w:t>Para los efectos de las fracciones I y II, podrá examinar de oficio y, en su caso, decretar la actualización de las causales de improcedencia desestimadas por el juzgador de origen, siempre que los motivos sean diversos a los considerados por el órgano de primera</w:t>
      </w:r>
      <w:r>
        <w:rPr>
          <w:spacing w:val="-10"/>
          <w:sz w:val="20"/>
        </w:rPr>
        <w:t> </w:t>
      </w:r>
      <w:r>
        <w:rPr>
          <w:sz w:val="20"/>
        </w:rPr>
        <w:t>instancia;</w:t>
      </w:r>
    </w:p>
    <w:p>
      <w:pPr>
        <w:pStyle w:val="BodyText"/>
        <w:spacing w:before="4"/>
        <w:rPr>
          <w:sz w:val="19"/>
        </w:rPr>
      </w:pPr>
    </w:p>
    <w:p>
      <w:pPr>
        <w:pStyle w:val="ListParagraph"/>
        <w:numPr>
          <w:ilvl w:val="0"/>
          <w:numId w:val="19"/>
        </w:numPr>
        <w:tabs>
          <w:tab w:pos="1156" w:val="left" w:leader="none"/>
        </w:tabs>
        <w:spacing w:line="242" w:lineRule="auto" w:before="0" w:after="0"/>
        <w:ind w:left="838" w:right="116" w:firstLine="0"/>
        <w:jc w:val="both"/>
        <w:rPr>
          <w:sz w:val="20"/>
        </w:rPr>
      </w:pPr>
      <w:r>
        <w:rPr>
          <w:sz w:val="20"/>
        </w:rPr>
        <w:t>Si encontrare que por acción u omisión se violaron las reglas fundamentales que norman el procedimiento del juicio de amparo, siempre que tales violaciones hayan trascendido al resultado del fallo, revocará la resolución recurrida y mandará reponer el</w:t>
      </w:r>
      <w:r>
        <w:rPr>
          <w:spacing w:val="-9"/>
          <w:sz w:val="20"/>
        </w:rPr>
        <w:t> </w:t>
      </w:r>
      <w:r>
        <w:rPr>
          <w:sz w:val="20"/>
        </w:rPr>
        <w:t>procedimiento;</w:t>
      </w:r>
    </w:p>
    <w:p>
      <w:pPr>
        <w:pStyle w:val="BodyText"/>
        <w:spacing w:before="6"/>
        <w:rPr>
          <w:sz w:val="19"/>
        </w:rPr>
      </w:pPr>
    </w:p>
    <w:p>
      <w:pPr>
        <w:pStyle w:val="ListParagraph"/>
        <w:numPr>
          <w:ilvl w:val="0"/>
          <w:numId w:val="19"/>
        </w:numPr>
        <w:tabs>
          <w:tab w:pos="1108" w:val="left" w:leader="none"/>
        </w:tabs>
        <w:spacing w:line="240" w:lineRule="auto" w:before="0" w:after="0"/>
        <w:ind w:left="838" w:right="127" w:firstLine="0"/>
        <w:jc w:val="both"/>
        <w:rPr>
          <w:sz w:val="20"/>
        </w:rPr>
      </w:pPr>
      <w:r>
        <w:rPr>
          <w:sz w:val="20"/>
        </w:rPr>
        <w:t>Si quien recurre es el quejoso, examinará los demás agravios; si estima que son fundados, revocará la sentencia recurrida y dictará la que</w:t>
      </w:r>
      <w:r>
        <w:rPr>
          <w:spacing w:val="-3"/>
          <w:sz w:val="20"/>
        </w:rPr>
        <w:t> </w:t>
      </w:r>
      <w:r>
        <w:rPr>
          <w:sz w:val="20"/>
        </w:rPr>
        <w:t>corresponda;</w:t>
      </w:r>
    </w:p>
    <w:p>
      <w:pPr>
        <w:pStyle w:val="BodyText"/>
        <w:spacing w:before="11"/>
        <w:rPr>
          <w:sz w:val="19"/>
        </w:rPr>
      </w:pPr>
    </w:p>
    <w:p>
      <w:pPr>
        <w:pStyle w:val="ListParagraph"/>
        <w:numPr>
          <w:ilvl w:val="0"/>
          <w:numId w:val="19"/>
        </w:numPr>
        <w:tabs>
          <w:tab w:pos="1156" w:val="left" w:leader="none"/>
        </w:tabs>
        <w:spacing w:line="242" w:lineRule="auto" w:before="0" w:after="0"/>
        <w:ind w:left="838" w:right="123" w:firstLine="0"/>
        <w:jc w:val="both"/>
        <w:rPr>
          <w:sz w:val="20"/>
        </w:rPr>
      </w:pPr>
      <w:r>
        <w:rPr>
          <w:sz w:val="20"/>
        </w:rPr>
        <w:t>Si quien recurre es la autoridad responsable o el tercero interesado, examinará los agravios de fondo, si estima que son fundados, analizará los conceptos de violación no estudiados y concederá o negará el amparo;</w:t>
      </w:r>
      <w:r>
        <w:rPr>
          <w:spacing w:val="3"/>
          <w:sz w:val="20"/>
        </w:rPr>
        <w:t> </w:t>
      </w:r>
      <w:r>
        <w:rPr>
          <w:sz w:val="20"/>
        </w:rPr>
        <w:t>y</w:t>
      </w:r>
    </w:p>
    <w:p>
      <w:pPr>
        <w:pStyle w:val="BodyText"/>
        <w:spacing w:before="3"/>
        <w:rPr>
          <w:sz w:val="19"/>
        </w:rPr>
      </w:pPr>
    </w:p>
    <w:p>
      <w:pPr>
        <w:pStyle w:val="ListParagraph"/>
        <w:numPr>
          <w:ilvl w:val="0"/>
          <w:numId w:val="19"/>
        </w:numPr>
        <w:tabs>
          <w:tab w:pos="1254" w:val="left" w:leader="none"/>
        </w:tabs>
        <w:spacing w:line="242" w:lineRule="auto" w:before="1" w:after="0"/>
        <w:ind w:left="838" w:right="120" w:firstLine="0"/>
        <w:jc w:val="both"/>
        <w:rPr>
          <w:sz w:val="20"/>
        </w:rPr>
      </w:pPr>
      <w:r>
        <w:rPr>
          <w:sz w:val="20"/>
        </w:rPr>
        <w:t>Sólo tomará en consideración las pruebas que se hubiesen rendido ante la autoridad responsable o el órgano jurisdiccional de amparo, salvo aquéllas que tiendan a desestimar el sobreseimiento fuera de la audiencia</w:t>
      </w:r>
      <w:r>
        <w:rPr>
          <w:spacing w:val="-1"/>
          <w:sz w:val="20"/>
        </w:rPr>
        <w:t> </w:t>
      </w:r>
      <w:r>
        <w:rPr>
          <w:sz w:val="20"/>
        </w:rPr>
        <w:t>constitucional.</w:t>
      </w:r>
    </w:p>
    <w:p>
      <w:pPr>
        <w:pStyle w:val="BodyText"/>
        <w:spacing w:before="6"/>
        <w:rPr>
          <w:sz w:val="19"/>
        </w:rPr>
      </w:pPr>
    </w:p>
    <w:p>
      <w:pPr>
        <w:pStyle w:val="BodyText"/>
        <w:ind w:left="118" w:right="116" w:firstLine="288"/>
        <w:jc w:val="both"/>
      </w:pPr>
      <w:bookmarkStart w:name="Artículo_94" w:id="94"/>
      <w:bookmarkEnd w:id="94"/>
      <w:r>
        <w:rPr/>
      </w:r>
      <w:r>
        <w:rPr>
          <w:b/>
        </w:rPr>
        <w:t>Artículo 94. </w:t>
      </w:r>
      <w:r>
        <w:rPr/>
        <w:t>En la revisión adhesiva el estudio de los agravios podrá hacerse en forma conjunta o separada, atendiendo a la prelación lógica que establece el artículo anterior.</w:t>
      </w:r>
    </w:p>
    <w:p>
      <w:pPr>
        <w:pStyle w:val="BodyText"/>
        <w:spacing w:before="10"/>
        <w:rPr>
          <w:sz w:val="19"/>
        </w:rPr>
      </w:pPr>
    </w:p>
    <w:p>
      <w:pPr>
        <w:pStyle w:val="BodyText"/>
        <w:spacing w:line="242" w:lineRule="auto"/>
        <w:ind w:left="118" w:right="120" w:firstLine="288"/>
        <w:jc w:val="both"/>
      </w:pPr>
      <w:bookmarkStart w:name="Artículo_95" w:id="95"/>
      <w:bookmarkEnd w:id="95"/>
      <w:r>
        <w:rPr/>
      </w:r>
      <w:r>
        <w:rPr>
          <w:b/>
        </w:rPr>
        <w:t>Artículo 95. </w:t>
      </w:r>
      <w:r>
        <w:rPr/>
        <w:t>Cuando en la revisión concurran materias que sean de la competencia de la Suprema Corte de Justicia de la Nación y de un tribunal colegiado de circuito, se estará a lo establecido en los acuerdos generales del Pleno de la propia Corte.</w:t>
      </w:r>
    </w:p>
    <w:p>
      <w:pPr>
        <w:pStyle w:val="BodyText"/>
        <w:spacing w:before="5"/>
        <w:rPr>
          <w:sz w:val="19"/>
        </w:rPr>
      </w:pPr>
    </w:p>
    <w:p>
      <w:pPr>
        <w:pStyle w:val="BodyText"/>
        <w:ind w:left="118" w:right="118" w:firstLine="288"/>
        <w:jc w:val="both"/>
      </w:pPr>
      <w:bookmarkStart w:name="Artículo_96" w:id="96"/>
      <w:bookmarkEnd w:id="96"/>
      <w:r>
        <w:rPr/>
      </w:r>
      <w:r>
        <w:rPr>
          <w:b/>
        </w:rPr>
        <w:t>Artículo 96. </w:t>
      </w:r>
      <w:r>
        <w:rPr/>
        <w:t>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w:t>
      </w:r>
      <w:r>
        <w:rPr>
          <w:spacing w:val="-5"/>
        </w:rPr>
        <w:t> </w:t>
      </w:r>
      <w:r>
        <w:rPr/>
        <w:t>parte.</w:t>
      </w:r>
    </w:p>
    <w:p>
      <w:pPr>
        <w:pStyle w:val="BodyText"/>
      </w:pPr>
    </w:p>
    <w:p>
      <w:pPr>
        <w:pStyle w:val="Heading1"/>
        <w:ind w:left="3884" w:right="3880" w:firstLine="2"/>
      </w:pPr>
      <w:r>
        <w:rPr/>
        <w:t>Sección Segunda Recurso de Queja</w:t>
      </w:r>
    </w:p>
    <w:p>
      <w:pPr>
        <w:spacing w:after="0"/>
        <w:sectPr>
          <w:pgSz w:w="12240" w:h="15840"/>
          <w:pgMar w:header="708" w:footer="712" w:top="1760" w:bottom="900" w:left="1300" w:right="1300"/>
        </w:sectPr>
      </w:pPr>
    </w:p>
    <w:p>
      <w:pPr>
        <w:pStyle w:val="BodyText"/>
        <w:rPr>
          <w:b/>
        </w:rPr>
      </w:pPr>
    </w:p>
    <w:p>
      <w:pPr>
        <w:pStyle w:val="BodyText"/>
        <w:spacing w:before="6"/>
        <w:rPr>
          <w:b/>
          <w:sz w:val="27"/>
        </w:rPr>
      </w:pPr>
    </w:p>
    <w:p>
      <w:pPr>
        <w:spacing w:before="92"/>
        <w:ind w:left="406" w:right="0" w:firstLine="0"/>
        <w:jc w:val="left"/>
        <w:rPr>
          <w:sz w:val="20"/>
        </w:rPr>
      </w:pPr>
      <w:bookmarkStart w:name="Artículo_97" w:id="97"/>
      <w:bookmarkEnd w:id="97"/>
      <w:r>
        <w:rPr/>
      </w:r>
      <w:r>
        <w:rPr>
          <w:b/>
          <w:sz w:val="20"/>
        </w:rPr>
        <w:t>Artículo 97. </w:t>
      </w:r>
      <w:r>
        <w:rPr>
          <w:sz w:val="20"/>
        </w:rPr>
        <w:t>El recurso de queja procede:</w:t>
      </w:r>
    </w:p>
    <w:p>
      <w:pPr>
        <w:pStyle w:val="BodyText"/>
        <w:spacing w:before="1"/>
      </w:pPr>
    </w:p>
    <w:p>
      <w:pPr>
        <w:pStyle w:val="ListParagraph"/>
        <w:numPr>
          <w:ilvl w:val="0"/>
          <w:numId w:val="20"/>
        </w:numPr>
        <w:tabs>
          <w:tab w:pos="1005" w:val="left" w:leader="none"/>
        </w:tabs>
        <w:spacing w:line="240" w:lineRule="auto" w:before="0" w:after="0"/>
        <w:ind w:left="1004" w:right="0" w:hanging="167"/>
        <w:jc w:val="left"/>
        <w:rPr>
          <w:sz w:val="20"/>
        </w:rPr>
      </w:pPr>
      <w:r>
        <w:rPr>
          <w:sz w:val="20"/>
        </w:rPr>
        <w:t>En amparo indirecto, contra las siguientes</w:t>
      </w:r>
      <w:r>
        <w:rPr>
          <w:spacing w:val="-2"/>
          <w:sz w:val="20"/>
        </w:rPr>
        <w:t> </w:t>
      </w:r>
      <w:r>
        <w:rPr>
          <w:sz w:val="20"/>
        </w:rPr>
        <w:t>resoluciones:</w:t>
      </w:r>
    </w:p>
    <w:p>
      <w:pPr>
        <w:pStyle w:val="BodyText"/>
        <w:spacing w:before="10"/>
        <w:rPr>
          <w:sz w:val="19"/>
        </w:rPr>
      </w:pPr>
    </w:p>
    <w:p>
      <w:pPr>
        <w:pStyle w:val="ListParagraph"/>
        <w:numPr>
          <w:ilvl w:val="1"/>
          <w:numId w:val="20"/>
        </w:numPr>
        <w:tabs>
          <w:tab w:pos="1434" w:val="left" w:leader="none"/>
        </w:tabs>
        <w:spacing w:line="242" w:lineRule="auto" w:before="0" w:after="0"/>
        <w:ind w:left="1198" w:right="118" w:firstLine="0"/>
        <w:jc w:val="both"/>
        <w:rPr>
          <w:sz w:val="20"/>
        </w:rPr>
      </w:pPr>
      <w:r>
        <w:rPr>
          <w:sz w:val="20"/>
        </w:rPr>
        <w:t>Las que admitan total o parcialmente, desechen o tengan por no presentada una demanda de amparo o su</w:t>
      </w:r>
      <w:r>
        <w:rPr>
          <w:spacing w:val="-3"/>
          <w:sz w:val="20"/>
        </w:rPr>
        <w:t> </w:t>
      </w:r>
      <w:r>
        <w:rPr>
          <w:sz w:val="20"/>
        </w:rPr>
        <w:t>ampliación;</w:t>
      </w:r>
    </w:p>
    <w:p>
      <w:pPr>
        <w:pStyle w:val="BodyText"/>
        <w:spacing w:before="8"/>
        <w:rPr>
          <w:sz w:val="19"/>
        </w:rPr>
      </w:pPr>
    </w:p>
    <w:p>
      <w:pPr>
        <w:pStyle w:val="ListParagraph"/>
        <w:numPr>
          <w:ilvl w:val="1"/>
          <w:numId w:val="20"/>
        </w:numPr>
        <w:tabs>
          <w:tab w:pos="1444" w:val="left" w:leader="none"/>
        </w:tabs>
        <w:spacing w:line="240" w:lineRule="auto" w:before="0" w:after="0"/>
        <w:ind w:left="1443" w:right="0" w:hanging="246"/>
        <w:jc w:val="left"/>
        <w:rPr>
          <w:sz w:val="20"/>
        </w:rPr>
      </w:pPr>
      <w:r>
        <w:rPr>
          <w:sz w:val="20"/>
        </w:rPr>
        <w:t>Las que concedan o nieguen la suspensión de plano o la</w:t>
      </w:r>
      <w:r>
        <w:rPr>
          <w:spacing w:val="-2"/>
          <w:sz w:val="20"/>
        </w:rPr>
        <w:t> </w:t>
      </w:r>
      <w:r>
        <w:rPr>
          <w:sz w:val="20"/>
        </w:rPr>
        <w:t>provisional;</w:t>
      </w:r>
    </w:p>
    <w:p>
      <w:pPr>
        <w:pStyle w:val="BodyText"/>
        <w:spacing w:before="10"/>
        <w:rPr>
          <w:sz w:val="19"/>
        </w:rPr>
      </w:pPr>
    </w:p>
    <w:p>
      <w:pPr>
        <w:pStyle w:val="ListParagraph"/>
        <w:numPr>
          <w:ilvl w:val="1"/>
          <w:numId w:val="20"/>
        </w:numPr>
        <w:tabs>
          <w:tab w:pos="1456" w:val="left" w:leader="none"/>
        </w:tabs>
        <w:spacing w:line="242" w:lineRule="auto" w:before="0" w:after="0"/>
        <w:ind w:left="1198" w:right="123" w:firstLine="0"/>
        <w:jc w:val="both"/>
        <w:rPr>
          <w:sz w:val="20"/>
        </w:rPr>
      </w:pPr>
      <w:r>
        <w:rPr>
          <w:sz w:val="20"/>
        </w:rPr>
        <w:t>Las que rehúsen la admisión de fianzas o contrafianzas, admitan las que no reúnan los requisitos legales o que puedan resultar excesivas o</w:t>
      </w:r>
      <w:r>
        <w:rPr>
          <w:spacing w:val="-2"/>
          <w:sz w:val="20"/>
        </w:rPr>
        <w:t> </w:t>
      </w:r>
      <w:r>
        <w:rPr>
          <w:sz w:val="20"/>
        </w:rPr>
        <w:t>insuficientes;</w:t>
      </w:r>
    </w:p>
    <w:p>
      <w:pPr>
        <w:pStyle w:val="BodyText"/>
        <w:spacing w:before="9"/>
        <w:rPr>
          <w:sz w:val="19"/>
        </w:rPr>
      </w:pPr>
    </w:p>
    <w:p>
      <w:pPr>
        <w:pStyle w:val="ListParagraph"/>
        <w:numPr>
          <w:ilvl w:val="1"/>
          <w:numId w:val="20"/>
        </w:numPr>
        <w:tabs>
          <w:tab w:pos="1444" w:val="left" w:leader="none"/>
        </w:tabs>
        <w:spacing w:line="240" w:lineRule="auto" w:before="0" w:after="0"/>
        <w:ind w:left="1443" w:right="0" w:hanging="246"/>
        <w:jc w:val="left"/>
        <w:rPr>
          <w:sz w:val="20"/>
        </w:rPr>
      </w:pPr>
      <w:r>
        <w:rPr>
          <w:sz w:val="20"/>
        </w:rPr>
        <w:t>Las que reconozcan o nieguen el carácter de tercero</w:t>
      </w:r>
      <w:r>
        <w:rPr>
          <w:spacing w:val="-8"/>
          <w:sz w:val="20"/>
        </w:rPr>
        <w:t> </w:t>
      </w:r>
      <w:r>
        <w:rPr>
          <w:sz w:val="20"/>
        </w:rPr>
        <w:t>interesado;</w:t>
      </w:r>
    </w:p>
    <w:p>
      <w:pPr>
        <w:pStyle w:val="BodyText"/>
        <w:spacing w:before="10"/>
        <w:rPr>
          <w:sz w:val="19"/>
        </w:rPr>
      </w:pPr>
    </w:p>
    <w:p>
      <w:pPr>
        <w:pStyle w:val="ListParagraph"/>
        <w:numPr>
          <w:ilvl w:val="1"/>
          <w:numId w:val="20"/>
        </w:numPr>
        <w:tabs>
          <w:tab w:pos="1446" w:val="left" w:leader="none"/>
        </w:tabs>
        <w:spacing w:line="240" w:lineRule="auto" w:before="0" w:after="0"/>
        <w:ind w:left="1198" w:right="118" w:firstLine="0"/>
        <w:jc w:val="both"/>
        <w:rPr>
          <w:sz w:val="20"/>
        </w:rPr>
      </w:pPr>
      <w:r>
        <w:rPr>
          <w:sz w:val="20"/>
        </w:rPr>
        <w:t>Las que se dicten durante la tramitación del juicio, o del incidente de suspensión, que no admitan expresamente el recurso de revisión y que </w:t>
      </w:r>
      <w:r>
        <w:rPr>
          <w:spacing w:val="2"/>
          <w:sz w:val="20"/>
        </w:rPr>
        <w:t>por </w:t>
      </w:r>
      <w:r>
        <w:rPr>
          <w:sz w:val="20"/>
        </w:rPr>
        <w:t>su naturaleza trascendental y grave puedan causar perjuicio a alguna de las partes, no reparable en la sentencia definitiva; así como las que con las mismas características se emitan después de dictada la sentencia en la audiencia</w:t>
      </w:r>
      <w:r>
        <w:rPr>
          <w:spacing w:val="-2"/>
          <w:sz w:val="20"/>
        </w:rPr>
        <w:t> </w:t>
      </w:r>
      <w:r>
        <w:rPr>
          <w:sz w:val="20"/>
        </w:rPr>
        <w:t>constitucional;</w:t>
      </w:r>
    </w:p>
    <w:p>
      <w:pPr>
        <w:pStyle w:val="BodyText"/>
      </w:pPr>
    </w:p>
    <w:p>
      <w:pPr>
        <w:pStyle w:val="ListParagraph"/>
        <w:numPr>
          <w:ilvl w:val="1"/>
          <w:numId w:val="20"/>
        </w:numPr>
        <w:tabs>
          <w:tab w:pos="1389" w:val="left" w:leader="none"/>
        </w:tabs>
        <w:spacing w:line="240" w:lineRule="auto" w:before="0" w:after="0"/>
        <w:ind w:left="1388" w:right="0" w:hanging="191"/>
        <w:jc w:val="left"/>
        <w:rPr>
          <w:sz w:val="20"/>
        </w:rPr>
      </w:pPr>
      <w:r>
        <w:rPr>
          <w:sz w:val="20"/>
        </w:rPr>
        <w:t>Las que decidan el incidente de reclamación de daños y</w:t>
      </w:r>
      <w:r>
        <w:rPr>
          <w:spacing w:val="-5"/>
          <w:sz w:val="20"/>
        </w:rPr>
        <w:t> </w:t>
      </w:r>
      <w:r>
        <w:rPr>
          <w:sz w:val="20"/>
        </w:rPr>
        <w:t>perjuicios;</w:t>
      </w:r>
    </w:p>
    <w:p>
      <w:pPr>
        <w:pStyle w:val="BodyText"/>
        <w:spacing w:before="1"/>
      </w:pPr>
    </w:p>
    <w:p>
      <w:pPr>
        <w:pStyle w:val="ListParagraph"/>
        <w:numPr>
          <w:ilvl w:val="1"/>
          <w:numId w:val="20"/>
        </w:numPr>
        <w:tabs>
          <w:tab w:pos="1446" w:val="left" w:leader="none"/>
        </w:tabs>
        <w:spacing w:line="242" w:lineRule="auto" w:before="0" w:after="0"/>
        <w:ind w:left="1198" w:right="126" w:firstLine="0"/>
        <w:jc w:val="both"/>
        <w:rPr>
          <w:sz w:val="20"/>
        </w:rPr>
      </w:pPr>
      <w:r>
        <w:rPr>
          <w:sz w:val="20"/>
        </w:rPr>
        <w:t>Las que resuelvan el incidente por exceso o defecto en la ejecución del acuerdo en que se haya concedido al quejoso la suspensión provisional o definitiva del acto reclamado;</w:t>
      </w:r>
      <w:r>
        <w:rPr>
          <w:spacing w:val="-13"/>
          <w:sz w:val="20"/>
        </w:rPr>
        <w:t> </w:t>
      </w:r>
      <w:r>
        <w:rPr>
          <w:sz w:val="20"/>
        </w:rPr>
        <w:t>y</w:t>
      </w:r>
    </w:p>
    <w:p>
      <w:pPr>
        <w:pStyle w:val="BodyText"/>
        <w:spacing w:before="8"/>
        <w:rPr>
          <w:sz w:val="19"/>
        </w:rPr>
      </w:pPr>
    </w:p>
    <w:p>
      <w:pPr>
        <w:pStyle w:val="ListParagraph"/>
        <w:numPr>
          <w:ilvl w:val="1"/>
          <w:numId w:val="20"/>
        </w:numPr>
        <w:tabs>
          <w:tab w:pos="1444" w:val="left" w:leader="none"/>
        </w:tabs>
        <w:spacing w:line="240" w:lineRule="auto" w:before="0" w:after="0"/>
        <w:ind w:left="1443" w:right="0" w:hanging="246"/>
        <w:jc w:val="left"/>
        <w:rPr>
          <w:sz w:val="20"/>
        </w:rPr>
      </w:pPr>
      <w:r>
        <w:rPr>
          <w:sz w:val="20"/>
        </w:rPr>
        <w:t>Las que se dicten en el incidente de cumplimiento sustituto de las sentencias de</w:t>
      </w:r>
      <w:r>
        <w:rPr>
          <w:spacing w:val="-19"/>
          <w:sz w:val="20"/>
        </w:rPr>
        <w:t> </w:t>
      </w:r>
      <w:r>
        <w:rPr>
          <w:sz w:val="20"/>
        </w:rPr>
        <w:t>amparo;</w:t>
      </w:r>
    </w:p>
    <w:p>
      <w:pPr>
        <w:pStyle w:val="BodyText"/>
        <w:spacing w:before="10"/>
        <w:rPr>
          <w:sz w:val="19"/>
        </w:rPr>
      </w:pPr>
    </w:p>
    <w:p>
      <w:pPr>
        <w:pStyle w:val="ListParagraph"/>
        <w:numPr>
          <w:ilvl w:val="0"/>
          <w:numId w:val="20"/>
        </w:numPr>
        <w:tabs>
          <w:tab w:pos="1060" w:val="left" w:leader="none"/>
        </w:tabs>
        <w:spacing w:line="240" w:lineRule="auto" w:before="0" w:after="0"/>
        <w:ind w:left="1059" w:right="0" w:hanging="222"/>
        <w:jc w:val="left"/>
        <w:rPr>
          <w:sz w:val="20"/>
        </w:rPr>
      </w:pPr>
      <w:r>
        <w:rPr>
          <w:sz w:val="20"/>
        </w:rPr>
        <w:t>Amparo directo, tratándose de la autoridad responsable, en los siguientes</w:t>
      </w:r>
      <w:r>
        <w:rPr>
          <w:spacing w:val="-11"/>
          <w:sz w:val="20"/>
        </w:rPr>
        <w:t> </w:t>
      </w:r>
      <w:r>
        <w:rPr>
          <w:sz w:val="20"/>
        </w:rPr>
        <w:t>casos:</w:t>
      </w:r>
    </w:p>
    <w:p>
      <w:pPr>
        <w:pStyle w:val="BodyText"/>
        <w:spacing w:before="1"/>
      </w:pPr>
    </w:p>
    <w:p>
      <w:pPr>
        <w:pStyle w:val="ListParagraph"/>
        <w:numPr>
          <w:ilvl w:val="1"/>
          <w:numId w:val="20"/>
        </w:numPr>
        <w:tabs>
          <w:tab w:pos="1432" w:val="left" w:leader="none"/>
        </w:tabs>
        <w:spacing w:line="240" w:lineRule="auto" w:before="0" w:after="0"/>
        <w:ind w:left="1431" w:right="0" w:hanging="234"/>
        <w:jc w:val="left"/>
        <w:rPr>
          <w:sz w:val="20"/>
        </w:rPr>
      </w:pPr>
      <w:r>
        <w:rPr>
          <w:sz w:val="20"/>
        </w:rPr>
        <w:t>Cuando omita tramitar la demanda de amparo o lo haga</w:t>
      </w:r>
      <w:r>
        <w:rPr>
          <w:spacing w:val="-7"/>
          <w:sz w:val="20"/>
        </w:rPr>
        <w:t> </w:t>
      </w:r>
      <w:r>
        <w:rPr>
          <w:sz w:val="20"/>
        </w:rPr>
        <w:t>indebidamente;</w:t>
      </w:r>
    </w:p>
    <w:p>
      <w:pPr>
        <w:pStyle w:val="BodyText"/>
        <w:spacing w:before="10"/>
        <w:rPr>
          <w:sz w:val="19"/>
        </w:rPr>
      </w:pPr>
    </w:p>
    <w:p>
      <w:pPr>
        <w:pStyle w:val="ListParagraph"/>
        <w:numPr>
          <w:ilvl w:val="1"/>
          <w:numId w:val="20"/>
        </w:numPr>
        <w:tabs>
          <w:tab w:pos="1478" w:val="left" w:leader="none"/>
        </w:tabs>
        <w:spacing w:line="242" w:lineRule="auto" w:before="0" w:after="0"/>
        <w:ind w:left="1198" w:right="124" w:firstLine="0"/>
        <w:jc w:val="both"/>
        <w:rPr>
          <w:sz w:val="20"/>
        </w:rPr>
      </w:pPr>
      <w:r>
        <w:rPr>
          <w:sz w:val="20"/>
        </w:rPr>
        <w:t>Cuando no provea sobre la suspensión dentro del plazo legal, conceda o niegue ésta, rehúse la admisión de fianzas o contrafianzas, admita las que no reúnan los requisitos legales o que puedan resultar excesivas o</w:t>
      </w:r>
      <w:r>
        <w:rPr>
          <w:spacing w:val="-5"/>
          <w:sz w:val="20"/>
        </w:rPr>
        <w:t> </w:t>
      </w:r>
      <w:r>
        <w:rPr>
          <w:sz w:val="20"/>
        </w:rPr>
        <w:t>insuficientes;</w:t>
      </w:r>
    </w:p>
    <w:p>
      <w:pPr>
        <w:pStyle w:val="BodyText"/>
        <w:spacing w:before="6"/>
        <w:rPr>
          <w:sz w:val="19"/>
        </w:rPr>
      </w:pPr>
    </w:p>
    <w:p>
      <w:pPr>
        <w:pStyle w:val="ListParagraph"/>
        <w:numPr>
          <w:ilvl w:val="1"/>
          <w:numId w:val="20"/>
        </w:numPr>
        <w:tabs>
          <w:tab w:pos="1432" w:val="left" w:leader="none"/>
        </w:tabs>
        <w:spacing w:line="240" w:lineRule="auto" w:before="1" w:after="0"/>
        <w:ind w:left="1431" w:right="0" w:hanging="234"/>
        <w:jc w:val="left"/>
        <w:rPr>
          <w:sz w:val="20"/>
        </w:rPr>
      </w:pPr>
      <w:r>
        <w:rPr>
          <w:sz w:val="20"/>
        </w:rPr>
        <w:t>Contra la resolución que decida el incidente de reclamación de daños y perjuicios;</w:t>
      </w:r>
      <w:r>
        <w:rPr>
          <w:spacing w:val="-8"/>
          <w:sz w:val="20"/>
        </w:rPr>
        <w:t> </w:t>
      </w:r>
      <w:r>
        <w:rPr>
          <w:sz w:val="20"/>
        </w:rPr>
        <w:t>y</w:t>
      </w:r>
    </w:p>
    <w:p>
      <w:pPr>
        <w:pStyle w:val="BodyText"/>
        <w:spacing w:before="9"/>
        <w:rPr>
          <w:sz w:val="19"/>
        </w:rPr>
      </w:pPr>
    </w:p>
    <w:p>
      <w:pPr>
        <w:pStyle w:val="ListParagraph"/>
        <w:numPr>
          <w:ilvl w:val="1"/>
          <w:numId w:val="20"/>
        </w:numPr>
        <w:tabs>
          <w:tab w:pos="1451" w:val="left" w:leader="none"/>
        </w:tabs>
        <w:spacing w:line="242" w:lineRule="auto" w:before="0" w:after="0"/>
        <w:ind w:left="1198" w:right="128" w:firstLine="0"/>
        <w:jc w:val="both"/>
        <w:rPr>
          <w:sz w:val="20"/>
        </w:rPr>
      </w:pPr>
      <w:r>
        <w:rPr>
          <w:sz w:val="20"/>
        </w:rPr>
        <w:t>Cuando niegue al quejoso su libertad caucional o cuando las resoluciones que dicte sobre la misma materia causen daños o perjuicios a alguno de los</w:t>
      </w:r>
      <w:r>
        <w:rPr>
          <w:spacing w:val="-10"/>
          <w:sz w:val="20"/>
        </w:rPr>
        <w:t> </w:t>
      </w:r>
      <w:r>
        <w:rPr>
          <w:sz w:val="20"/>
        </w:rPr>
        <w:t>interesados.</w:t>
      </w:r>
    </w:p>
    <w:p>
      <w:pPr>
        <w:pStyle w:val="BodyText"/>
        <w:spacing w:before="8"/>
        <w:rPr>
          <w:sz w:val="19"/>
        </w:rPr>
      </w:pPr>
    </w:p>
    <w:p>
      <w:pPr>
        <w:pStyle w:val="BodyText"/>
        <w:spacing w:line="242" w:lineRule="auto" w:before="1"/>
        <w:ind w:left="118" w:firstLine="288"/>
      </w:pPr>
      <w:bookmarkStart w:name="Artículo_98" w:id="98"/>
      <w:bookmarkEnd w:id="98"/>
      <w:r>
        <w:rPr/>
      </w:r>
      <w:r>
        <w:rPr>
          <w:b/>
        </w:rPr>
        <w:t>Artículo 98. </w:t>
      </w:r>
      <w:r>
        <w:rPr/>
        <w:t>El plazo para la interposición del recurso de queja es de cinco días, con las excepciones siguientes:</w:t>
      </w:r>
    </w:p>
    <w:p>
      <w:pPr>
        <w:pStyle w:val="BodyText"/>
        <w:spacing w:before="6"/>
        <w:rPr>
          <w:sz w:val="19"/>
        </w:rPr>
      </w:pPr>
    </w:p>
    <w:p>
      <w:pPr>
        <w:pStyle w:val="ListParagraph"/>
        <w:numPr>
          <w:ilvl w:val="0"/>
          <w:numId w:val="21"/>
        </w:numPr>
        <w:tabs>
          <w:tab w:pos="1005" w:val="left" w:leader="none"/>
        </w:tabs>
        <w:spacing w:line="240" w:lineRule="auto" w:before="0" w:after="0"/>
        <w:ind w:left="1004" w:right="0" w:hanging="167"/>
        <w:jc w:val="left"/>
        <w:rPr>
          <w:sz w:val="20"/>
        </w:rPr>
      </w:pPr>
      <w:r>
        <w:rPr>
          <w:sz w:val="20"/>
        </w:rPr>
        <w:t>De dos días hábiles, cuando se trate de suspensión de plano o provisional;</w:t>
      </w:r>
      <w:r>
        <w:rPr>
          <w:spacing w:val="-3"/>
          <w:sz w:val="20"/>
        </w:rPr>
        <w:t> </w:t>
      </w:r>
      <w:r>
        <w:rPr>
          <w:sz w:val="20"/>
        </w:rPr>
        <w:t>y</w:t>
      </w:r>
    </w:p>
    <w:p>
      <w:pPr>
        <w:pStyle w:val="BodyText"/>
        <w:spacing w:before="1"/>
      </w:pPr>
    </w:p>
    <w:p>
      <w:pPr>
        <w:pStyle w:val="ListParagraph"/>
        <w:numPr>
          <w:ilvl w:val="0"/>
          <w:numId w:val="21"/>
        </w:numPr>
        <w:tabs>
          <w:tab w:pos="1060" w:val="left" w:leader="none"/>
        </w:tabs>
        <w:spacing w:line="240" w:lineRule="auto" w:before="0" w:after="0"/>
        <w:ind w:left="1059" w:right="0" w:hanging="222"/>
        <w:jc w:val="left"/>
        <w:rPr>
          <w:sz w:val="20"/>
        </w:rPr>
      </w:pPr>
      <w:r>
        <w:rPr>
          <w:sz w:val="20"/>
        </w:rPr>
        <w:t>En cualquier tiempo, cuando se omita tramitar la demanda de</w:t>
      </w:r>
      <w:r>
        <w:rPr>
          <w:spacing w:val="-10"/>
          <w:sz w:val="20"/>
        </w:rPr>
        <w:t> </w:t>
      </w:r>
      <w:r>
        <w:rPr>
          <w:sz w:val="20"/>
        </w:rPr>
        <w:t>amparo.</w:t>
      </w:r>
    </w:p>
    <w:p>
      <w:pPr>
        <w:pStyle w:val="BodyText"/>
      </w:pPr>
    </w:p>
    <w:p>
      <w:pPr>
        <w:pStyle w:val="BodyText"/>
        <w:spacing w:line="242" w:lineRule="auto" w:before="1"/>
        <w:ind w:left="118" w:right="338" w:firstLine="288"/>
      </w:pPr>
      <w:bookmarkStart w:name="Artículo_99" w:id="99"/>
      <w:bookmarkEnd w:id="99"/>
      <w:r>
        <w:rPr/>
      </w:r>
      <w:r>
        <w:rPr>
          <w:b/>
        </w:rPr>
        <w:t>Artículo 99. </w:t>
      </w:r>
      <w:r>
        <w:rPr/>
        <w:t>El recurso de queja deberá presentarse por escrito ante el órgano jurisdiccional que conozca del juicio de amparo.</w:t>
      </w:r>
    </w:p>
    <w:p>
      <w:pPr>
        <w:pStyle w:val="BodyText"/>
        <w:spacing w:before="8"/>
        <w:rPr>
          <w:sz w:val="19"/>
        </w:rPr>
      </w:pPr>
    </w:p>
    <w:p>
      <w:pPr>
        <w:pStyle w:val="BodyText"/>
        <w:ind w:left="118" w:firstLine="288"/>
      </w:pPr>
      <w:r>
        <w:rPr/>
        <w:t>En el caso de que se trate de actos de la autoridad responsable, el recurso deberá plantearse ante el órgano jurisdiccional de amparo que deba conocer o haya conocido del juicio.</w:t>
      </w:r>
    </w:p>
    <w:p>
      <w:pPr>
        <w:spacing w:after="0"/>
        <w:sectPr>
          <w:pgSz w:w="12240" w:h="15840"/>
          <w:pgMar w:header="708" w:footer="712" w:top="1760" w:bottom="900" w:left="1300" w:right="1300"/>
        </w:sectPr>
      </w:pPr>
    </w:p>
    <w:p>
      <w:pPr>
        <w:pStyle w:val="BodyText"/>
      </w:pPr>
    </w:p>
    <w:p>
      <w:pPr>
        <w:pStyle w:val="BodyText"/>
        <w:spacing w:before="6"/>
        <w:rPr>
          <w:sz w:val="27"/>
        </w:rPr>
      </w:pPr>
    </w:p>
    <w:p>
      <w:pPr>
        <w:pStyle w:val="BodyText"/>
        <w:spacing w:before="92"/>
        <w:ind w:left="406"/>
      </w:pPr>
      <w:bookmarkStart w:name="Artículo_100" w:id="100"/>
      <w:bookmarkEnd w:id="100"/>
      <w:r>
        <w:rPr/>
      </w:r>
      <w:r>
        <w:rPr>
          <w:b/>
        </w:rPr>
        <w:t>Artículo 100. </w:t>
      </w:r>
      <w:r>
        <w:rPr/>
        <w:t>En el escrito de queja se expresarán los agravios que cause la resolución recurrida.</w:t>
      </w:r>
    </w:p>
    <w:p>
      <w:pPr>
        <w:pStyle w:val="BodyText"/>
        <w:spacing w:before="3"/>
      </w:pPr>
    </w:p>
    <w:p>
      <w:pPr>
        <w:pStyle w:val="BodyText"/>
        <w:spacing w:before="1"/>
        <w:ind w:left="118" w:right="125" w:firstLine="288"/>
        <w:jc w:val="both"/>
      </w:pPr>
      <w:r>
        <w:rP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w:t>
      </w:r>
      <w:r>
        <w:rPr>
          <w:spacing w:val="2"/>
        </w:rPr>
        <w:t>forma</w:t>
      </w:r>
      <w:r>
        <w:rPr>
          <w:spacing w:val="-31"/>
        </w:rPr>
        <w:t> </w:t>
      </w:r>
      <w:r>
        <w:rPr/>
        <w:t>electrónica.</w:t>
      </w:r>
    </w:p>
    <w:p>
      <w:pPr>
        <w:pStyle w:val="BodyText"/>
        <w:spacing w:before="11"/>
        <w:rPr>
          <w:sz w:val="19"/>
        </w:rPr>
      </w:pPr>
    </w:p>
    <w:p>
      <w:pPr>
        <w:pStyle w:val="BodyText"/>
        <w:ind w:left="118" w:right="117" w:firstLine="288"/>
        <w:jc w:val="both"/>
      </w:pPr>
      <w:r>
        <w:rP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w:t>
      </w:r>
      <w:r>
        <w:rPr>
          <w:spacing w:val="20"/>
        </w:rPr>
        <w:t> </w:t>
      </w:r>
      <w:r>
        <w:rPr/>
        <w:t>clara desventaja social para emprender un juicio, en los que el órgano jurisdiccional expedirá las copias correspondientes.</w:t>
      </w:r>
    </w:p>
    <w:p>
      <w:pPr>
        <w:pStyle w:val="BodyText"/>
        <w:spacing w:before="8"/>
        <w:rPr>
          <w:sz w:val="19"/>
        </w:rPr>
      </w:pPr>
    </w:p>
    <w:p>
      <w:pPr>
        <w:pStyle w:val="BodyText"/>
        <w:ind w:left="118" w:right="121" w:firstLine="288"/>
        <w:jc w:val="both"/>
      </w:pPr>
      <w:bookmarkStart w:name="Artículo_101" w:id="101"/>
      <w:bookmarkEnd w:id="101"/>
      <w:r>
        <w:rPr/>
      </w:r>
      <w:r>
        <w:rPr>
          <w:b/>
        </w:rPr>
        <w:t>Artículo 101. </w:t>
      </w:r>
      <w:r>
        <w:rPr/>
        <w:t>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pPr>
        <w:pStyle w:val="BodyText"/>
        <w:spacing w:before="2"/>
      </w:pPr>
    </w:p>
    <w:p>
      <w:pPr>
        <w:pStyle w:val="BodyText"/>
        <w:spacing w:before="1"/>
        <w:ind w:left="118" w:right="126" w:firstLine="288"/>
        <w:jc w:val="both"/>
      </w:pPr>
      <w:r>
        <w:rPr/>
        <w:t>En los supuestos del artículo 97, fracción I, inciso b) de esta Ley, el órgano jurisdiccional notificará a las partes y de inmediato remitirá al que corresponda, copia de la resolución, el informe materia de la queja, las constancias solicitadas y las que estime pertinentes.</w:t>
      </w:r>
    </w:p>
    <w:p>
      <w:pPr>
        <w:pStyle w:val="BodyText"/>
        <w:spacing w:before="1"/>
      </w:pPr>
    </w:p>
    <w:p>
      <w:pPr>
        <w:pStyle w:val="BodyText"/>
        <w:ind w:left="118" w:right="114" w:firstLine="288"/>
        <w:jc w:val="both"/>
      </w:pPr>
      <w:r>
        <w:rPr/>
        <w:t>Cuando se trate de actos de la autoridad responsable, el órgano jurisdiccional requerirá a dicha autoridad, el informe materia de la queja, en su caso la resolución impugnada, las constancias solicitadas y las que estime pertinentes.</w:t>
      </w:r>
    </w:p>
    <w:p>
      <w:pPr>
        <w:pStyle w:val="BodyText"/>
      </w:pPr>
    </w:p>
    <w:p>
      <w:pPr>
        <w:pStyle w:val="BodyText"/>
        <w:ind w:left="406"/>
      </w:pPr>
      <w:r>
        <w:rPr/>
        <w:t>La falta o deficiencia de los informes establece la presunción de ser ciertos los hechos respectivos.</w:t>
      </w:r>
    </w:p>
    <w:p>
      <w:pPr>
        <w:pStyle w:val="BodyText"/>
        <w:spacing w:before="10"/>
        <w:rPr>
          <w:sz w:val="19"/>
        </w:rPr>
      </w:pPr>
    </w:p>
    <w:p>
      <w:pPr>
        <w:pStyle w:val="BodyText"/>
        <w:ind w:left="118" w:right="125" w:firstLine="288"/>
        <w:jc w:val="both"/>
      </w:pPr>
      <w:r>
        <w:rPr/>
        <w:t>Recibidas las constancias, se dictará resolución dentro de los cuarenta días siguientes, o dentro de las cuarenta y ocho horas en los casos del artículo 97, fracción I, inciso b) de esta</w:t>
      </w:r>
      <w:r>
        <w:rPr>
          <w:spacing w:val="-15"/>
        </w:rPr>
        <w:t> </w:t>
      </w:r>
      <w:r>
        <w:rPr/>
        <w:t>Ley.</w:t>
      </w:r>
    </w:p>
    <w:p>
      <w:pPr>
        <w:pStyle w:val="BodyText"/>
        <w:spacing w:before="10"/>
        <w:rPr>
          <w:sz w:val="19"/>
        </w:rPr>
      </w:pPr>
    </w:p>
    <w:p>
      <w:pPr>
        <w:pStyle w:val="BodyText"/>
        <w:ind w:left="118" w:right="117" w:firstLine="288"/>
        <w:jc w:val="both"/>
      </w:pPr>
      <w:bookmarkStart w:name="Artículo_102" w:id="102"/>
      <w:bookmarkEnd w:id="102"/>
      <w:r>
        <w:rPr/>
      </w:r>
      <w:r>
        <w:rPr>
          <w:b/>
        </w:rPr>
        <w:t>Artículo 102. </w:t>
      </w:r>
      <w:r>
        <w:rPr/>
        <w:t>En los casos de resoluciones dictadas durante la tramitación del amparo indirecto que por su naturaleza trascendental y grave puedan causar un perjuicio no reparable a alguna de las partes, con la interposición de la queja el juez de distrito o tribunal unitario de circuito está facultado para suspender el procedimiento, hecha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pPr>
        <w:pStyle w:val="BodyText"/>
        <w:spacing w:before="1"/>
      </w:pPr>
    </w:p>
    <w:p>
      <w:pPr>
        <w:pStyle w:val="BodyText"/>
        <w:ind w:left="118" w:right="124" w:firstLine="288"/>
        <w:jc w:val="both"/>
      </w:pPr>
      <w:bookmarkStart w:name="Artículo_103" w:id="103"/>
      <w:bookmarkEnd w:id="103"/>
      <w:r>
        <w:rPr/>
      </w:r>
      <w:r>
        <w:rPr>
          <w:b/>
        </w:rPr>
        <w:t>Artículo 103. </w:t>
      </w:r>
      <w:r>
        <w:rPr/>
        <w:t>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pPr>
        <w:pStyle w:val="BodyText"/>
      </w:pPr>
    </w:p>
    <w:p>
      <w:pPr>
        <w:pStyle w:val="Heading1"/>
        <w:spacing w:before="1"/>
        <w:ind w:left="3513" w:right="3508" w:firstLine="2"/>
      </w:pPr>
      <w:r>
        <w:rPr/>
        <w:t>Sección Tercera Recurso de</w:t>
      </w:r>
      <w:r>
        <w:rPr>
          <w:spacing w:val="24"/>
        </w:rPr>
        <w:t> </w:t>
      </w:r>
      <w:r>
        <w:rPr>
          <w:spacing w:val="-4"/>
        </w:rPr>
        <w:t>Reclamación</w:t>
      </w:r>
    </w:p>
    <w:p>
      <w:pPr>
        <w:spacing w:after="0"/>
        <w:sectPr>
          <w:pgSz w:w="12240" w:h="15840"/>
          <w:pgMar w:header="708" w:footer="712" w:top="1760" w:bottom="900" w:left="1300" w:right="1300"/>
        </w:sectPr>
      </w:pPr>
    </w:p>
    <w:p>
      <w:pPr>
        <w:pStyle w:val="BodyText"/>
        <w:spacing w:before="5"/>
        <w:rPr>
          <w:b/>
          <w:sz w:val="27"/>
        </w:rPr>
      </w:pPr>
    </w:p>
    <w:p>
      <w:pPr>
        <w:pStyle w:val="BodyText"/>
        <w:spacing w:line="242" w:lineRule="auto" w:before="93"/>
        <w:ind w:left="118" w:right="117" w:firstLine="288"/>
        <w:jc w:val="both"/>
      </w:pPr>
      <w:bookmarkStart w:name="Artículo_104" w:id="104"/>
      <w:bookmarkEnd w:id="104"/>
      <w:r>
        <w:rPr/>
      </w:r>
      <w:r>
        <w:rPr>
          <w:b/>
        </w:rPr>
        <w:t>Artículo 104. </w:t>
      </w:r>
      <w:r>
        <w:rPr/>
        <w:t>El recurso de reclamación es procedente contra los acuerdos de trámite dictados por el presidente de la Suprema Corte de Justicia de la Nación o por los presidentes de sus salas o de los tribunales colegiados de circuito.</w:t>
      </w:r>
    </w:p>
    <w:p>
      <w:pPr>
        <w:pStyle w:val="BodyText"/>
        <w:spacing w:before="6"/>
        <w:rPr>
          <w:sz w:val="19"/>
        </w:rPr>
      </w:pPr>
    </w:p>
    <w:p>
      <w:pPr>
        <w:pStyle w:val="BodyText"/>
        <w:ind w:left="118" w:right="116" w:firstLine="288"/>
        <w:jc w:val="both"/>
      </w:pPr>
      <w:r>
        <w:rPr/>
        <w:t>Dicho recurso se podrá interponer por cualquiera de las partes, por escrito, en el que se expresan agravios, dentro del término de tres días siguientes al en que surta sus efectos la notificación de la resolución impugnada.</w:t>
      </w:r>
    </w:p>
    <w:p>
      <w:pPr>
        <w:pStyle w:val="BodyText"/>
        <w:spacing w:before="11"/>
        <w:rPr>
          <w:sz w:val="19"/>
        </w:rPr>
      </w:pPr>
    </w:p>
    <w:p>
      <w:pPr>
        <w:pStyle w:val="BodyText"/>
        <w:ind w:left="118" w:right="121" w:firstLine="288"/>
        <w:jc w:val="both"/>
      </w:pPr>
      <w:bookmarkStart w:name="Artículo_105" w:id="105"/>
      <w:bookmarkEnd w:id="105"/>
      <w:r>
        <w:rPr/>
      </w:r>
      <w:r>
        <w:rPr>
          <w:b/>
        </w:rPr>
        <w:t>Artículo 105. </w:t>
      </w:r>
      <w:r>
        <w:rPr/>
        <w:t>El órgano jurisdiccional que deba conocer del asunto resolverá en un plazo máximo de diez días; el ponente será un ministro o magistrado distinto de su presidente.</w:t>
      </w:r>
    </w:p>
    <w:p>
      <w:pPr>
        <w:pStyle w:val="BodyText"/>
        <w:spacing w:before="10"/>
        <w:rPr>
          <w:sz w:val="19"/>
        </w:rPr>
      </w:pPr>
    </w:p>
    <w:p>
      <w:pPr>
        <w:pStyle w:val="BodyText"/>
        <w:spacing w:line="242" w:lineRule="auto"/>
        <w:ind w:left="118" w:right="125" w:firstLine="288"/>
        <w:jc w:val="both"/>
      </w:pPr>
      <w:bookmarkStart w:name="Artículo_106" w:id="106"/>
      <w:bookmarkEnd w:id="106"/>
      <w:r>
        <w:rPr/>
      </w:r>
      <w:r>
        <w:rPr>
          <w:b/>
        </w:rPr>
        <w:t>Artículo 106. </w:t>
      </w:r>
      <w:r>
        <w:rPr/>
        <w:t>La reclamación fundada deja sin efectos el acuerdo recurrido y obliga al presidente que lo hubiere emitido a dictar el que corresponda.</w:t>
      </w:r>
    </w:p>
    <w:p>
      <w:pPr>
        <w:pStyle w:val="BodyText"/>
        <w:spacing w:before="9"/>
        <w:rPr>
          <w:sz w:val="19"/>
        </w:rPr>
      </w:pPr>
    </w:p>
    <w:p>
      <w:pPr>
        <w:pStyle w:val="Heading1"/>
        <w:spacing w:line="252" w:lineRule="exact" w:before="1"/>
        <w:ind w:left="607"/>
      </w:pPr>
      <w:r>
        <w:rPr/>
        <w:t>TÍTULO SEGUNDO</w:t>
      </w:r>
    </w:p>
    <w:p>
      <w:pPr>
        <w:spacing w:line="252" w:lineRule="exact" w:before="0"/>
        <w:ind w:left="605" w:right="605" w:firstLine="0"/>
        <w:jc w:val="center"/>
        <w:rPr>
          <w:b/>
          <w:sz w:val="22"/>
        </w:rPr>
      </w:pPr>
      <w:r>
        <w:rPr>
          <w:b/>
          <w:sz w:val="22"/>
        </w:rPr>
        <w:t>De los Procedimientos de Amparo</w:t>
      </w:r>
    </w:p>
    <w:p>
      <w:pPr>
        <w:pStyle w:val="BodyText"/>
        <w:rPr>
          <w:b/>
          <w:sz w:val="22"/>
        </w:rPr>
      </w:pPr>
    </w:p>
    <w:p>
      <w:pPr>
        <w:spacing w:line="252" w:lineRule="exact" w:before="0"/>
        <w:ind w:left="605" w:right="605" w:firstLine="0"/>
        <w:jc w:val="center"/>
        <w:rPr>
          <w:b/>
          <w:sz w:val="22"/>
        </w:rPr>
      </w:pPr>
      <w:r>
        <w:rPr>
          <w:b/>
          <w:sz w:val="22"/>
        </w:rPr>
        <w:t>CAPÍTULO I</w:t>
      </w:r>
    </w:p>
    <w:p>
      <w:pPr>
        <w:spacing w:line="252" w:lineRule="exact" w:before="0"/>
        <w:ind w:left="606" w:right="605" w:firstLine="0"/>
        <w:jc w:val="center"/>
        <w:rPr>
          <w:b/>
          <w:sz w:val="22"/>
        </w:rPr>
      </w:pPr>
      <w:r>
        <w:rPr>
          <w:b/>
          <w:sz w:val="22"/>
        </w:rPr>
        <w:t>El Amparo Indirecto</w:t>
      </w:r>
    </w:p>
    <w:p>
      <w:pPr>
        <w:pStyle w:val="BodyText"/>
        <w:rPr>
          <w:b/>
          <w:sz w:val="22"/>
        </w:rPr>
      </w:pPr>
    </w:p>
    <w:p>
      <w:pPr>
        <w:spacing w:before="1"/>
        <w:ind w:left="3549" w:right="3544" w:firstLine="1"/>
        <w:jc w:val="center"/>
        <w:rPr>
          <w:b/>
          <w:sz w:val="22"/>
        </w:rPr>
      </w:pPr>
      <w:r>
        <w:rPr>
          <w:b/>
          <w:sz w:val="22"/>
        </w:rPr>
        <w:t>Sección Primera Procedencia y Demanda</w:t>
      </w:r>
    </w:p>
    <w:p>
      <w:pPr>
        <w:pStyle w:val="BodyText"/>
        <w:rPr>
          <w:b/>
        </w:rPr>
      </w:pPr>
    </w:p>
    <w:p>
      <w:pPr>
        <w:spacing w:before="0"/>
        <w:ind w:left="406" w:right="0" w:firstLine="0"/>
        <w:jc w:val="left"/>
        <w:rPr>
          <w:sz w:val="20"/>
        </w:rPr>
      </w:pPr>
      <w:bookmarkStart w:name="Artículo_107" w:id="107"/>
      <w:bookmarkEnd w:id="107"/>
      <w:r>
        <w:rPr/>
      </w:r>
      <w:r>
        <w:rPr>
          <w:b/>
          <w:sz w:val="20"/>
        </w:rPr>
        <w:t>Artículo 107. </w:t>
      </w:r>
      <w:r>
        <w:rPr>
          <w:sz w:val="20"/>
        </w:rPr>
        <w:t>El amparo indirecto procede:</w:t>
      </w:r>
    </w:p>
    <w:p>
      <w:pPr>
        <w:pStyle w:val="BodyText"/>
        <w:spacing w:before="10"/>
        <w:rPr>
          <w:sz w:val="19"/>
        </w:rPr>
      </w:pPr>
    </w:p>
    <w:p>
      <w:pPr>
        <w:pStyle w:val="ListParagraph"/>
        <w:numPr>
          <w:ilvl w:val="0"/>
          <w:numId w:val="22"/>
        </w:numPr>
        <w:tabs>
          <w:tab w:pos="1017" w:val="left" w:leader="none"/>
        </w:tabs>
        <w:spacing w:line="242" w:lineRule="auto" w:before="0" w:after="0"/>
        <w:ind w:left="838" w:right="126" w:firstLine="0"/>
        <w:jc w:val="left"/>
        <w:rPr>
          <w:sz w:val="20"/>
        </w:rPr>
      </w:pPr>
      <w:r>
        <w:rPr>
          <w:sz w:val="20"/>
        </w:rPr>
        <w:t>Contra normas generales que por su sola entrada en vigor o con motivo del primer acto de su aplicación causen perjuicio al</w:t>
      </w:r>
      <w:r>
        <w:rPr>
          <w:spacing w:val="-1"/>
          <w:sz w:val="20"/>
        </w:rPr>
        <w:t> </w:t>
      </w:r>
      <w:r>
        <w:rPr>
          <w:sz w:val="20"/>
        </w:rPr>
        <w:t>quejoso.</w:t>
      </w:r>
    </w:p>
    <w:p>
      <w:pPr>
        <w:pStyle w:val="BodyText"/>
        <w:spacing w:before="11"/>
        <w:rPr>
          <w:sz w:val="19"/>
        </w:rPr>
      </w:pPr>
    </w:p>
    <w:p>
      <w:pPr>
        <w:pStyle w:val="BodyText"/>
        <w:ind w:left="838"/>
      </w:pPr>
      <w:r>
        <w:rPr/>
        <w:t>Para los efectos de esta Ley, se entiende por normas generales, entre otras, las siguientes:</w:t>
      </w:r>
    </w:p>
    <w:p>
      <w:pPr>
        <w:pStyle w:val="BodyText"/>
        <w:spacing w:before="7"/>
        <w:rPr>
          <w:sz w:val="19"/>
        </w:rPr>
      </w:pPr>
    </w:p>
    <w:p>
      <w:pPr>
        <w:pStyle w:val="ListParagraph"/>
        <w:numPr>
          <w:ilvl w:val="1"/>
          <w:numId w:val="22"/>
        </w:numPr>
        <w:tabs>
          <w:tab w:pos="1367" w:val="left" w:leader="none"/>
        </w:tabs>
        <w:spacing w:line="242" w:lineRule="auto" w:before="0" w:after="0"/>
        <w:ind w:left="1110" w:right="115" w:firstLine="0"/>
        <w:jc w:val="both"/>
        <w:rPr>
          <w:sz w:val="20"/>
        </w:rPr>
      </w:pPr>
      <w:r>
        <w:rPr>
          <w:sz w:val="20"/>
        </w:rPr>
        <w:t>Los tratados internacionales aprobados en los términos previstos en el artículo 133 de la Constitución Política de los Estados Unidos Mexicanos; salvo aquellas disposiciones en que tales tratados reconozcan derechos humanos;</w:t>
      </w:r>
    </w:p>
    <w:p>
      <w:pPr>
        <w:pStyle w:val="BodyText"/>
        <w:spacing w:before="6"/>
        <w:rPr>
          <w:sz w:val="19"/>
        </w:rPr>
      </w:pPr>
    </w:p>
    <w:p>
      <w:pPr>
        <w:pStyle w:val="ListParagraph"/>
        <w:numPr>
          <w:ilvl w:val="1"/>
          <w:numId w:val="22"/>
        </w:numPr>
        <w:tabs>
          <w:tab w:pos="1355" w:val="left" w:leader="none"/>
        </w:tabs>
        <w:spacing w:line="240" w:lineRule="auto" w:before="1" w:after="0"/>
        <w:ind w:left="1354" w:right="0" w:hanging="245"/>
        <w:jc w:val="left"/>
        <w:rPr>
          <w:sz w:val="20"/>
        </w:rPr>
      </w:pPr>
      <w:r>
        <w:rPr>
          <w:sz w:val="20"/>
        </w:rPr>
        <w:t>Las leyes</w:t>
      </w:r>
      <w:r>
        <w:rPr>
          <w:spacing w:val="-1"/>
          <w:sz w:val="20"/>
        </w:rPr>
        <w:t> </w:t>
      </w:r>
      <w:r>
        <w:rPr>
          <w:sz w:val="20"/>
        </w:rPr>
        <w:t>federales;</w:t>
      </w:r>
    </w:p>
    <w:p>
      <w:pPr>
        <w:pStyle w:val="BodyText"/>
        <w:spacing w:before="9"/>
        <w:rPr>
          <w:sz w:val="19"/>
        </w:rPr>
      </w:pPr>
    </w:p>
    <w:p>
      <w:pPr>
        <w:pStyle w:val="ListParagraph"/>
        <w:numPr>
          <w:ilvl w:val="1"/>
          <w:numId w:val="22"/>
        </w:numPr>
        <w:tabs>
          <w:tab w:pos="1343" w:val="left" w:leader="none"/>
        </w:tabs>
        <w:spacing w:line="240" w:lineRule="auto" w:before="1" w:after="0"/>
        <w:ind w:left="1342" w:right="0" w:hanging="233"/>
        <w:jc w:val="left"/>
        <w:rPr>
          <w:sz w:val="20"/>
        </w:rPr>
      </w:pPr>
      <w:r>
        <w:rPr>
          <w:sz w:val="20"/>
        </w:rPr>
        <w:t>Las constituciones de los Estados y el Estatuto de Gobierno del Distrito</w:t>
      </w:r>
      <w:r>
        <w:rPr>
          <w:spacing w:val="-11"/>
          <w:sz w:val="20"/>
        </w:rPr>
        <w:t> </w:t>
      </w:r>
      <w:r>
        <w:rPr>
          <w:sz w:val="20"/>
        </w:rPr>
        <w:t>Federal;</w:t>
      </w:r>
    </w:p>
    <w:p>
      <w:pPr>
        <w:pStyle w:val="BodyText"/>
      </w:pPr>
    </w:p>
    <w:p>
      <w:pPr>
        <w:pStyle w:val="ListParagraph"/>
        <w:numPr>
          <w:ilvl w:val="1"/>
          <w:numId w:val="22"/>
        </w:numPr>
        <w:tabs>
          <w:tab w:pos="1355" w:val="left" w:leader="none"/>
        </w:tabs>
        <w:spacing w:line="240" w:lineRule="auto" w:before="0" w:after="0"/>
        <w:ind w:left="1354" w:right="0" w:hanging="245"/>
        <w:jc w:val="left"/>
        <w:rPr>
          <w:sz w:val="20"/>
        </w:rPr>
      </w:pPr>
      <w:r>
        <w:rPr>
          <w:sz w:val="20"/>
        </w:rPr>
        <w:t>Las leyes de los Estados y del Distrito</w:t>
      </w:r>
      <w:r>
        <w:rPr>
          <w:spacing w:val="-8"/>
          <w:sz w:val="20"/>
        </w:rPr>
        <w:t> </w:t>
      </w:r>
      <w:r>
        <w:rPr>
          <w:sz w:val="20"/>
        </w:rPr>
        <w:t>Federal;</w:t>
      </w:r>
    </w:p>
    <w:p>
      <w:pPr>
        <w:pStyle w:val="BodyText"/>
        <w:spacing w:before="1"/>
      </w:pPr>
    </w:p>
    <w:p>
      <w:pPr>
        <w:pStyle w:val="ListParagraph"/>
        <w:numPr>
          <w:ilvl w:val="1"/>
          <w:numId w:val="22"/>
        </w:numPr>
        <w:tabs>
          <w:tab w:pos="1343" w:val="left" w:leader="none"/>
        </w:tabs>
        <w:spacing w:line="240" w:lineRule="auto" w:before="0" w:after="0"/>
        <w:ind w:left="1342" w:right="0" w:hanging="233"/>
        <w:jc w:val="left"/>
        <w:rPr>
          <w:sz w:val="20"/>
        </w:rPr>
      </w:pPr>
      <w:r>
        <w:rPr>
          <w:sz w:val="20"/>
        </w:rPr>
        <w:t>Los reglamentos</w:t>
      </w:r>
      <w:r>
        <w:rPr>
          <w:spacing w:val="-1"/>
          <w:sz w:val="20"/>
        </w:rPr>
        <w:t> </w:t>
      </w:r>
      <w:r>
        <w:rPr>
          <w:sz w:val="20"/>
        </w:rPr>
        <w:t>federales;</w:t>
      </w:r>
    </w:p>
    <w:p>
      <w:pPr>
        <w:pStyle w:val="BodyText"/>
        <w:spacing w:before="11"/>
        <w:rPr>
          <w:sz w:val="19"/>
        </w:rPr>
      </w:pPr>
    </w:p>
    <w:p>
      <w:pPr>
        <w:pStyle w:val="ListParagraph"/>
        <w:numPr>
          <w:ilvl w:val="1"/>
          <w:numId w:val="22"/>
        </w:numPr>
        <w:tabs>
          <w:tab w:pos="1300" w:val="left" w:leader="none"/>
        </w:tabs>
        <w:spacing w:line="240" w:lineRule="auto" w:before="0" w:after="0"/>
        <w:ind w:left="1299" w:right="0" w:hanging="190"/>
        <w:jc w:val="left"/>
        <w:rPr>
          <w:sz w:val="20"/>
        </w:rPr>
      </w:pPr>
      <w:r>
        <w:rPr>
          <w:sz w:val="20"/>
        </w:rPr>
        <w:t>Los reglamentos locales;</w:t>
      </w:r>
      <w:r>
        <w:rPr>
          <w:spacing w:val="2"/>
          <w:sz w:val="20"/>
        </w:rPr>
        <w:t> </w:t>
      </w:r>
      <w:r>
        <w:rPr>
          <w:sz w:val="20"/>
        </w:rPr>
        <w:t>y</w:t>
      </w:r>
    </w:p>
    <w:p>
      <w:pPr>
        <w:pStyle w:val="BodyText"/>
      </w:pPr>
    </w:p>
    <w:p>
      <w:pPr>
        <w:pStyle w:val="ListParagraph"/>
        <w:numPr>
          <w:ilvl w:val="1"/>
          <w:numId w:val="22"/>
        </w:numPr>
        <w:tabs>
          <w:tab w:pos="1355" w:val="left" w:leader="none"/>
        </w:tabs>
        <w:spacing w:line="240" w:lineRule="auto" w:before="1" w:after="0"/>
        <w:ind w:left="1354" w:right="0" w:hanging="245"/>
        <w:jc w:val="left"/>
        <w:rPr>
          <w:sz w:val="20"/>
        </w:rPr>
      </w:pPr>
      <w:r>
        <w:rPr>
          <w:sz w:val="20"/>
        </w:rPr>
        <w:t>Los decretos, acuerdos y todo tipo de resoluciones de observancia</w:t>
      </w:r>
      <w:r>
        <w:rPr>
          <w:spacing w:val="-5"/>
          <w:sz w:val="20"/>
        </w:rPr>
        <w:t> </w:t>
      </w:r>
      <w:r>
        <w:rPr>
          <w:sz w:val="20"/>
        </w:rPr>
        <w:t>general;</w:t>
      </w:r>
    </w:p>
    <w:p>
      <w:pPr>
        <w:pStyle w:val="BodyText"/>
      </w:pPr>
    </w:p>
    <w:p>
      <w:pPr>
        <w:pStyle w:val="ListParagraph"/>
        <w:numPr>
          <w:ilvl w:val="0"/>
          <w:numId w:val="22"/>
        </w:numPr>
        <w:tabs>
          <w:tab w:pos="1077" w:val="left" w:leader="none"/>
        </w:tabs>
        <w:spacing w:line="242" w:lineRule="auto" w:before="0" w:after="0"/>
        <w:ind w:left="838" w:right="125" w:firstLine="0"/>
        <w:jc w:val="left"/>
        <w:rPr>
          <w:sz w:val="20"/>
        </w:rPr>
      </w:pPr>
      <w:r>
        <w:rPr>
          <w:sz w:val="20"/>
        </w:rPr>
        <w:t>Contra actos u omisiones que provengan de autoridades distintas de los tribunales judiciales, administrativos o del</w:t>
      </w:r>
      <w:r>
        <w:rPr>
          <w:spacing w:val="-2"/>
          <w:sz w:val="20"/>
        </w:rPr>
        <w:t> </w:t>
      </w:r>
      <w:r>
        <w:rPr>
          <w:sz w:val="20"/>
        </w:rPr>
        <w:t>trabajo;</w:t>
      </w:r>
    </w:p>
    <w:p>
      <w:pPr>
        <w:pStyle w:val="BodyText"/>
        <w:spacing w:before="6"/>
        <w:rPr>
          <w:sz w:val="19"/>
        </w:rPr>
      </w:pPr>
    </w:p>
    <w:p>
      <w:pPr>
        <w:pStyle w:val="ListParagraph"/>
        <w:numPr>
          <w:ilvl w:val="0"/>
          <w:numId w:val="22"/>
        </w:numPr>
        <w:tabs>
          <w:tab w:pos="1170" w:val="left" w:leader="none"/>
        </w:tabs>
        <w:spacing w:line="242" w:lineRule="auto" w:before="0" w:after="0"/>
        <w:ind w:left="838" w:right="124" w:firstLine="0"/>
        <w:jc w:val="left"/>
        <w:rPr>
          <w:sz w:val="20"/>
        </w:rPr>
      </w:pPr>
      <w:r>
        <w:rPr>
          <w:sz w:val="20"/>
        </w:rPr>
        <w:t>Contra actos, omisiones o resoluciones provenientes de un procedimiento administrativo seguido en forma de juicio, siempre que se trate</w:t>
      </w:r>
      <w:r>
        <w:rPr>
          <w:spacing w:val="-9"/>
          <w:sz w:val="20"/>
        </w:rPr>
        <w:t> </w:t>
      </w:r>
      <w:r>
        <w:rPr>
          <w:sz w:val="20"/>
        </w:rPr>
        <w:t>de:</w:t>
      </w:r>
    </w:p>
    <w:p>
      <w:pPr>
        <w:spacing w:after="0" w:line="242" w:lineRule="auto"/>
        <w:jc w:val="left"/>
        <w:rPr>
          <w:sz w:val="20"/>
        </w:rPr>
        <w:sectPr>
          <w:pgSz w:w="12240" w:h="15840"/>
          <w:pgMar w:header="708" w:footer="712" w:top="1760" w:bottom="900" w:left="1300" w:right="1300"/>
        </w:sectPr>
      </w:pPr>
    </w:p>
    <w:p>
      <w:pPr>
        <w:pStyle w:val="BodyText"/>
        <w:spacing w:before="5"/>
        <w:rPr>
          <w:sz w:val="27"/>
        </w:rPr>
      </w:pPr>
    </w:p>
    <w:p>
      <w:pPr>
        <w:pStyle w:val="ListParagraph"/>
        <w:numPr>
          <w:ilvl w:val="1"/>
          <w:numId w:val="22"/>
        </w:numPr>
        <w:tabs>
          <w:tab w:pos="1389" w:val="left" w:leader="none"/>
        </w:tabs>
        <w:spacing w:line="242" w:lineRule="auto" w:before="93" w:after="0"/>
        <w:ind w:left="1110" w:right="121" w:firstLine="0"/>
        <w:jc w:val="both"/>
        <w:rPr>
          <w:sz w:val="20"/>
        </w:rPr>
      </w:pPr>
      <w:r>
        <w:rPr>
          <w:sz w:val="20"/>
        </w:rPr>
        <w:t>La resolución definitiva por violaciones cometidas en la misma resolución o durante el procedimiento si por virtud de estas últimas hubiere quedado sin defensa el quejoso, trascendiendo al resultado de la resolución;</w:t>
      </w:r>
      <w:r>
        <w:rPr>
          <w:spacing w:val="-2"/>
          <w:sz w:val="20"/>
        </w:rPr>
        <w:t> </w:t>
      </w:r>
      <w:r>
        <w:rPr>
          <w:sz w:val="20"/>
        </w:rPr>
        <w:t>y</w:t>
      </w:r>
    </w:p>
    <w:p>
      <w:pPr>
        <w:pStyle w:val="BodyText"/>
        <w:spacing w:before="4"/>
        <w:rPr>
          <w:sz w:val="19"/>
        </w:rPr>
      </w:pPr>
    </w:p>
    <w:p>
      <w:pPr>
        <w:pStyle w:val="ListParagraph"/>
        <w:numPr>
          <w:ilvl w:val="1"/>
          <w:numId w:val="22"/>
        </w:numPr>
        <w:tabs>
          <w:tab w:pos="1377" w:val="left" w:leader="none"/>
        </w:tabs>
        <w:spacing w:line="242" w:lineRule="auto" w:before="0" w:after="0"/>
        <w:ind w:left="1110" w:right="119" w:firstLine="0"/>
        <w:jc w:val="both"/>
        <w:rPr>
          <w:sz w:val="20"/>
        </w:rPr>
      </w:pPr>
      <w:r>
        <w:rPr>
          <w:sz w:val="20"/>
        </w:rPr>
        <w:t>Actos en el procedimiento que sean de imposible reparación, entendiéndose por ellos los que afecten materialmente derechos sustantivos tutelados en la Constitución Política de los Estados Unidos Mexicanos y en los tratados internacionales de los que el Estado Mexicano sea</w:t>
      </w:r>
      <w:r>
        <w:rPr>
          <w:spacing w:val="-2"/>
          <w:sz w:val="20"/>
        </w:rPr>
        <w:t> </w:t>
      </w:r>
      <w:r>
        <w:rPr>
          <w:sz w:val="20"/>
        </w:rPr>
        <w:t>parte;</w:t>
      </w:r>
    </w:p>
    <w:p>
      <w:pPr>
        <w:pStyle w:val="BodyText"/>
        <w:spacing w:before="2"/>
        <w:rPr>
          <w:sz w:val="19"/>
        </w:rPr>
      </w:pPr>
    </w:p>
    <w:p>
      <w:pPr>
        <w:pStyle w:val="ListParagraph"/>
        <w:numPr>
          <w:ilvl w:val="0"/>
          <w:numId w:val="22"/>
        </w:numPr>
        <w:tabs>
          <w:tab w:pos="1158" w:val="left" w:leader="none"/>
        </w:tabs>
        <w:spacing w:line="242" w:lineRule="auto" w:before="0" w:after="0"/>
        <w:ind w:left="838" w:right="118" w:firstLine="0"/>
        <w:jc w:val="both"/>
        <w:rPr>
          <w:sz w:val="20"/>
        </w:rPr>
      </w:pPr>
      <w:r>
        <w:rPr>
          <w:sz w:val="20"/>
        </w:rPr>
        <w:t>Contra actos de tribunales judiciales, administrativos, agrarios o del trabajo realizados fuera de juicio o después de</w:t>
      </w:r>
      <w:r>
        <w:rPr>
          <w:spacing w:val="-1"/>
          <w:sz w:val="20"/>
        </w:rPr>
        <w:t> </w:t>
      </w:r>
      <w:r>
        <w:rPr>
          <w:sz w:val="20"/>
        </w:rPr>
        <w:t>concluido.</w:t>
      </w:r>
    </w:p>
    <w:p>
      <w:pPr>
        <w:pStyle w:val="BodyText"/>
        <w:spacing w:before="10"/>
        <w:rPr>
          <w:sz w:val="19"/>
        </w:rPr>
      </w:pPr>
    </w:p>
    <w:p>
      <w:pPr>
        <w:pStyle w:val="BodyText"/>
        <w:ind w:left="838" w:right="117"/>
        <w:jc w:val="both"/>
      </w:pPr>
      <w:r>
        <w:rP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w:t>
      </w:r>
      <w:r>
        <w:rPr>
          <w:spacing w:val="-11"/>
        </w:rPr>
        <w:t> </w:t>
      </w:r>
      <w:r>
        <w:rPr/>
        <w:t>resolución.</w:t>
      </w:r>
    </w:p>
    <w:p>
      <w:pPr>
        <w:pStyle w:val="BodyText"/>
        <w:spacing w:before="1"/>
      </w:pPr>
    </w:p>
    <w:p>
      <w:pPr>
        <w:pStyle w:val="BodyText"/>
        <w:spacing w:before="1"/>
        <w:ind w:left="838" w:right="124"/>
        <w:jc w:val="both"/>
      </w:pPr>
      <w:r>
        <w:rP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pPr>
        <w:pStyle w:val="BodyText"/>
        <w:spacing w:before="8"/>
        <w:rPr>
          <w:sz w:val="19"/>
        </w:rPr>
      </w:pPr>
    </w:p>
    <w:p>
      <w:pPr>
        <w:pStyle w:val="ListParagraph"/>
        <w:numPr>
          <w:ilvl w:val="0"/>
          <w:numId w:val="22"/>
        </w:numPr>
        <w:tabs>
          <w:tab w:pos="1084" w:val="left" w:leader="none"/>
        </w:tabs>
        <w:spacing w:line="240" w:lineRule="auto" w:before="0" w:after="0"/>
        <w:ind w:left="838" w:right="118" w:firstLine="0"/>
        <w:jc w:val="both"/>
        <w:rPr>
          <w:sz w:val="20"/>
        </w:rPr>
      </w:pPr>
      <w:r>
        <w:rPr>
          <w:sz w:val="20"/>
        </w:rPr>
        <w:t>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BodyText"/>
      </w:pPr>
    </w:p>
    <w:p>
      <w:pPr>
        <w:pStyle w:val="ListParagraph"/>
        <w:numPr>
          <w:ilvl w:val="0"/>
          <w:numId w:val="22"/>
        </w:numPr>
        <w:tabs>
          <w:tab w:pos="1137" w:val="left" w:leader="none"/>
        </w:tabs>
        <w:spacing w:line="240" w:lineRule="auto" w:before="0" w:after="0"/>
        <w:ind w:left="1136" w:right="0" w:hanging="299"/>
        <w:jc w:val="both"/>
        <w:rPr>
          <w:sz w:val="20"/>
        </w:rPr>
      </w:pPr>
      <w:r>
        <w:rPr>
          <w:sz w:val="20"/>
        </w:rPr>
        <w:t>Contra actos dentro o fuera de juicio que afecten a personas</w:t>
      </w:r>
      <w:r>
        <w:rPr>
          <w:spacing w:val="-4"/>
          <w:sz w:val="20"/>
        </w:rPr>
        <w:t> </w:t>
      </w:r>
      <w:r>
        <w:rPr>
          <w:sz w:val="20"/>
        </w:rPr>
        <w:t>extrañas;</w:t>
      </w:r>
    </w:p>
    <w:p>
      <w:pPr>
        <w:pStyle w:val="BodyText"/>
        <w:spacing w:before="1"/>
      </w:pPr>
    </w:p>
    <w:p>
      <w:pPr>
        <w:pStyle w:val="ListParagraph"/>
        <w:numPr>
          <w:ilvl w:val="0"/>
          <w:numId w:val="22"/>
        </w:numPr>
        <w:tabs>
          <w:tab w:pos="1216" w:val="left" w:leader="none"/>
        </w:tabs>
        <w:spacing w:line="240" w:lineRule="auto" w:before="0" w:after="0"/>
        <w:ind w:left="838" w:right="117" w:firstLine="0"/>
        <w:jc w:val="both"/>
        <w:rPr>
          <w:sz w:val="20"/>
        </w:rPr>
      </w:pPr>
      <w:r>
        <w:rPr>
          <w:sz w:val="20"/>
        </w:rPr>
        <w:t>Contra las omisiones del Ministerio Público en la investigación de los delitos, así como las resoluciones de reserva, no ejercicio, desistimiento de la acción penal, o por suspensión de procedimiento cuando no esté satisfecha la reparación del</w:t>
      </w:r>
      <w:r>
        <w:rPr>
          <w:spacing w:val="-2"/>
          <w:sz w:val="20"/>
        </w:rPr>
        <w:t> </w:t>
      </w:r>
      <w:r>
        <w:rPr>
          <w:sz w:val="20"/>
        </w:rPr>
        <w:t>daño;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14-07-2014</w:t>
      </w:r>
    </w:p>
    <w:p>
      <w:pPr>
        <w:pStyle w:val="BodyText"/>
        <w:spacing w:before="1"/>
        <w:rPr>
          <w:rFonts w:ascii="Times New Roman"/>
          <w:i/>
        </w:rPr>
      </w:pPr>
    </w:p>
    <w:p>
      <w:pPr>
        <w:pStyle w:val="ListParagraph"/>
        <w:numPr>
          <w:ilvl w:val="0"/>
          <w:numId w:val="22"/>
        </w:numPr>
        <w:tabs>
          <w:tab w:pos="1250" w:val="left" w:leader="none"/>
        </w:tabs>
        <w:spacing w:line="240" w:lineRule="auto" w:before="0" w:after="0"/>
        <w:ind w:left="838" w:right="124" w:firstLine="0"/>
        <w:jc w:val="left"/>
        <w:rPr>
          <w:sz w:val="20"/>
        </w:rPr>
      </w:pPr>
      <w:r>
        <w:rPr>
          <w:sz w:val="20"/>
        </w:rPr>
        <w:t>Contra actos de autoridad que determinen inhibir o declinar la competencia o el</w:t>
      </w:r>
      <w:r>
        <w:rPr>
          <w:spacing w:val="-28"/>
          <w:sz w:val="20"/>
        </w:rPr>
        <w:t> </w:t>
      </w:r>
      <w:r>
        <w:rPr>
          <w:sz w:val="20"/>
        </w:rPr>
        <w:t>conocimiento de un asunto, y</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14-07-2014</w:t>
      </w:r>
    </w:p>
    <w:p>
      <w:pPr>
        <w:pStyle w:val="BodyText"/>
        <w:spacing w:before="1"/>
        <w:rPr>
          <w:rFonts w:ascii="Times New Roman"/>
          <w:i/>
        </w:rPr>
      </w:pPr>
    </w:p>
    <w:p>
      <w:pPr>
        <w:pStyle w:val="ListParagraph"/>
        <w:numPr>
          <w:ilvl w:val="0"/>
          <w:numId w:val="22"/>
        </w:numPr>
        <w:tabs>
          <w:tab w:pos="1204" w:val="left" w:leader="none"/>
        </w:tabs>
        <w:spacing w:line="242" w:lineRule="auto" w:before="0" w:after="0"/>
        <w:ind w:left="838" w:right="124" w:firstLine="0"/>
        <w:jc w:val="left"/>
        <w:rPr>
          <w:sz w:val="20"/>
        </w:rPr>
      </w:pPr>
      <w:r>
        <w:rPr>
          <w:sz w:val="20"/>
        </w:rPr>
        <w:t>Contra normas generales, actos u omisiones de la Comisión Federal de Competencia Económica y del Instituto Federal de</w:t>
      </w:r>
      <w:r>
        <w:rPr>
          <w:spacing w:val="-1"/>
          <w:sz w:val="20"/>
        </w:rPr>
        <w:t> </w:t>
      </w:r>
      <w:r>
        <w:rPr>
          <w:sz w:val="20"/>
        </w:rPr>
        <w:t>Telecomunicaciones.</w:t>
      </w:r>
    </w:p>
    <w:p>
      <w:pPr>
        <w:pStyle w:val="BodyText"/>
        <w:spacing w:before="9"/>
        <w:rPr>
          <w:sz w:val="19"/>
        </w:rPr>
      </w:pPr>
    </w:p>
    <w:p>
      <w:pPr>
        <w:pStyle w:val="BodyText"/>
        <w:ind w:left="838" w:right="119"/>
        <w:jc w:val="both"/>
      </w:pPr>
      <w:r>
        <w:rPr/>
        <w:t>Tratándose de resoluciones dictadas por dichos órganos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w:t>
      </w:r>
      <w:r>
        <w:rPr>
          <w:spacing w:val="-20"/>
        </w:rPr>
        <w:t> </w:t>
      </w:r>
      <w:r>
        <w:rPr/>
        <w:t>referida.</w:t>
      </w:r>
    </w:p>
    <w:p>
      <w:pPr>
        <w:spacing w:line="183" w:lineRule="exact" w:before="0"/>
        <w:ind w:left="7022" w:right="0" w:firstLine="0"/>
        <w:jc w:val="left"/>
        <w:rPr>
          <w:rFonts w:ascii="Times New Roman" w:hAnsi="Times New Roman"/>
          <w:i/>
          <w:sz w:val="16"/>
        </w:rPr>
      </w:pPr>
      <w:r>
        <w:rPr>
          <w:rFonts w:ascii="Times New Roman" w:hAnsi="Times New Roman"/>
          <w:i/>
          <w:color w:val="0000FF"/>
          <w:sz w:val="16"/>
        </w:rPr>
        <w:t>Fracción adicionada DOF 14-07-2014</w:t>
      </w:r>
    </w:p>
    <w:p>
      <w:pPr>
        <w:pStyle w:val="BodyText"/>
        <w:spacing w:before="10"/>
        <w:rPr>
          <w:rFonts w:ascii="Times New Roman"/>
          <w:i/>
          <w:sz w:val="19"/>
        </w:rPr>
      </w:pPr>
    </w:p>
    <w:p>
      <w:pPr>
        <w:pStyle w:val="BodyText"/>
        <w:spacing w:line="242" w:lineRule="auto"/>
        <w:ind w:left="118" w:right="338" w:firstLine="288"/>
      </w:pPr>
      <w:bookmarkStart w:name="Artículo_108" w:id="108"/>
      <w:bookmarkEnd w:id="108"/>
      <w:r>
        <w:rPr/>
      </w:r>
      <w:r>
        <w:rPr>
          <w:b/>
        </w:rPr>
        <w:t>Artículo 108. </w:t>
      </w:r>
      <w:r>
        <w:rPr/>
        <w:t>La demanda de amparo indirecto deberá formularse por escrito o por medios electrónicos en los casos que la ley lo autorice, en la que se expresará:</w:t>
      </w:r>
    </w:p>
    <w:p>
      <w:pPr>
        <w:spacing w:after="0" w:line="242" w:lineRule="auto"/>
        <w:sectPr>
          <w:pgSz w:w="12240" w:h="15840"/>
          <w:pgMar w:header="708" w:footer="712" w:top="1760" w:bottom="900" w:left="1300" w:right="1300"/>
        </w:sectPr>
      </w:pPr>
    </w:p>
    <w:p>
      <w:pPr>
        <w:pStyle w:val="BodyText"/>
        <w:spacing w:before="5"/>
        <w:rPr>
          <w:sz w:val="27"/>
        </w:rPr>
      </w:pPr>
    </w:p>
    <w:p>
      <w:pPr>
        <w:pStyle w:val="ListParagraph"/>
        <w:numPr>
          <w:ilvl w:val="0"/>
          <w:numId w:val="23"/>
        </w:numPr>
        <w:tabs>
          <w:tab w:pos="1010" w:val="left" w:leader="none"/>
        </w:tabs>
        <w:spacing w:line="242" w:lineRule="auto" w:before="93" w:after="0"/>
        <w:ind w:left="838" w:right="125" w:firstLine="0"/>
        <w:jc w:val="both"/>
        <w:rPr>
          <w:sz w:val="20"/>
        </w:rPr>
      </w:pPr>
      <w:r>
        <w:rPr>
          <w:sz w:val="20"/>
        </w:rPr>
        <w:t>El nombre y domicilio del quejoso y del que promueve en su nombre, quien deberá acreditar su representación;</w:t>
      </w:r>
    </w:p>
    <w:p>
      <w:pPr>
        <w:pStyle w:val="BodyText"/>
        <w:spacing w:before="8"/>
        <w:rPr>
          <w:sz w:val="19"/>
        </w:rPr>
      </w:pPr>
    </w:p>
    <w:p>
      <w:pPr>
        <w:pStyle w:val="ListParagraph"/>
        <w:numPr>
          <w:ilvl w:val="0"/>
          <w:numId w:val="23"/>
        </w:numPr>
        <w:tabs>
          <w:tab w:pos="1070" w:val="left" w:leader="none"/>
        </w:tabs>
        <w:spacing w:line="240" w:lineRule="auto" w:before="0" w:after="0"/>
        <w:ind w:left="838" w:right="118" w:firstLine="0"/>
        <w:jc w:val="both"/>
        <w:rPr>
          <w:sz w:val="20"/>
        </w:rPr>
      </w:pPr>
      <w:r>
        <w:rPr>
          <w:sz w:val="20"/>
        </w:rPr>
        <w:t>El nombre y domicilio del tercero interesado, y si no los conoce, manifestarlo así bajo protesta de decir</w:t>
      </w:r>
      <w:r>
        <w:rPr>
          <w:spacing w:val="-2"/>
          <w:sz w:val="20"/>
        </w:rPr>
        <w:t> </w:t>
      </w:r>
      <w:r>
        <w:rPr>
          <w:sz w:val="20"/>
        </w:rPr>
        <w:t>verdad;</w:t>
      </w:r>
    </w:p>
    <w:p>
      <w:pPr>
        <w:pStyle w:val="BodyText"/>
        <w:spacing w:before="10"/>
        <w:rPr>
          <w:sz w:val="19"/>
        </w:rPr>
      </w:pPr>
    </w:p>
    <w:p>
      <w:pPr>
        <w:pStyle w:val="ListParagraph"/>
        <w:numPr>
          <w:ilvl w:val="0"/>
          <w:numId w:val="23"/>
        </w:numPr>
        <w:tabs>
          <w:tab w:pos="1127" w:val="left" w:leader="none"/>
        </w:tabs>
        <w:spacing w:line="240" w:lineRule="auto" w:before="1" w:after="0"/>
        <w:ind w:left="838" w:right="122" w:firstLine="0"/>
        <w:jc w:val="both"/>
        <w:rPr>
          <w:sz w:val="20"/>
        </w:rPr>
      </w:pPr>
      <w:r>
        <w:rPr>
          <w:sz w:val="20"/>
        </w:rPr>
        <w:t>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promulgatorio de la ley o en su publicación, el quejoso deberá señalarlas con el carácter de autoridades responsables, únicamente cuando impugne sus actos por vicios</w:t>
      </w:r>
      <w:r>
        <w:rPr>
          <w:spacing w:val="-7"/>
          <w:sz w:val="20"/>
        </w:rPr>
        <w:t> </w:t>
      </w:r>
      <w:r>
        <w:rPr>
          <w:sz w:val="20"/>
        </w:rPr>
        <w:t>propios;</w:t>
      </w:r>
    </w:p>
    <w:p>
      <w:pPr>
        <w:pStyle w:val="BodyText"/>
        <w:spacing w:before="11"/>
        <w:rPr>
          <w:sz w:val="19"/>
        </w:rPr>
      </w:pPr>
    </w:p>
    <w:p>
      <w:pPr>
        <w:pStyle w:val="ListParagraph"/>
        <w:numPr>
          <w:ilvl w:val="0"/>
          <w:numId w:val="23"/>
        </w:numPr>
        <w:tabs>
          <w:tab w:pos="1137" w:val="left" w:leader="none"/>
        </w:tabs>
        <w:spacing w:line="240" w:lineRule="auto" w:before="0" w:after="0"/>
        <w:ind w:left="1136" w:right="0" w:hanging="299"/>
        <w:jc w:val="both"/>
        <w:rPr>
          <w:sz w:val="20"/>
        </w:rPr>
      </w:pPr>
      <w:r>
        <w:rPr>
          <w:sz w:val="20"/>
        </w:rPr>
        <w:t>La norma general, acto u omisión que de cada autoridad se</w:t>
      </w:r>
      <w:r>
        <w:rPr>
          <w:spacing w:val="-9"/>
          <w:sz w:val="20"/>
        </w:rPr>
        <w:t> </w:t>
      </w:r>
      <w:r>
        <w:rPr>
          <w:sz w:val="20"/>
        </w:rPr>
        <w:t>reclame;</w:t>
      </w:r>
    </w:p>
    <w:p>
      <w:pPr>
        <w:pStyle w:val="BodyText"/>
        <w:spacing w:before="1"/>
      </w:pPr>
    </w:p>
    <w:p>
      <w:pPr>
        <w:pStyle w:val="ListParagraph"/>
        <w:numPr>
          <w:ilvl w:val="0"/>
          <w:numId w:val="23"/>
        </w:numPr>
        <w:tabs>
          <w:tab w:pos="1084" w:val="left" w:leader="none"/>
        </w:tabs>
        <w:spacing w:line="240" w:lineRule="auto" w:before="1" w:after="0"/>
        <w:ind w:left="838" w:right="126" w:firstLine="0"/>
        <w:jc w:val="both"/>
        <w:rPr>
          <w:sz w:val="20"/>
        </w:rPr>
      </w:pPr>
      <w:r>
        <w:rPr>
          <w:sz w:val="20"/>
        </w:rPr>
        <w:t>Bajo protesta de decir verdad, los hechos o abstenciones que constituyan los antecedentes del acto reclamado o que sirvan de fundamento a los conceptos de</w:t>
      </w:r>
      <w:r>
        <w:rPr>
          <w:spacing w:val="-6"/>
          <w:sz w:val="20"/>
        </w:rPr>
        <w:t> </w:t>
      </w:r>
      <w:r>
        <w:rPr>
          <w:sz w:val="20"/>
        </w:rPr>
        <w:t>violación;</w:t>
      </w:r>
    </w:p>
    <w:p>
      <w:pPr>
        <w:pStyle w:val="BodyText"/>
        <w:spacing w:before="10"/>
        <w:rPr>
          <w:sz w:val="19"/>
        </w:rPr>
      </w:pPr>
    </w:p>
    <w:p>
      <w:pPr>
        <w:pStyle w:val="ListParagraph"/>
        <w:numPr>
          <w:ilvl w:val="0"/>
          <w:numId w:val="23"/>
        </w:numPr>
        <w:tabs>
          <w:tab w:pos="1154" w:val="left" w:leader="none"/>
        </w:tabs>
        <w:spacing w:line="242" w:lineRule="auto" w:before="0" w:after="0"/>
        <w:ind w:left="838" w:right="117" w:firstLine="0"/>
        <w:jc w:val="both"/>
        <w:rPr>
          <w:sz w:val="20"/>
        </w:rPr>
      </w:pPr>
      <w:r>
        <w:rPr>
          <w:sz w:val="20"/>
        </w:rPr>
        <w:t>Los preceptos que, conforme al artículo 1o de esta Ley, contengan los derechos humanos y las garantías cuya violación se</w:t>
      </w:r>
      <w:r>
        <w:rPr>
          <w:spacing w:val="-2"/>
          <w:sz w:val="20"/>
        </w:rPr>
        <w:t> </w:t>
      </w:r>
      <w:r>
        <w:rPr>
          <w:sz w:val="20"/>
        </w:rPr>
        <w:t>reclame;</w:t>
      </w:r>
    </w:p>
    <w:p>
      <w:pPr>
        <w:pStyle w:val="BodyText"/>
        <w:spacing w:before="8"/>
        <w:rPr>
          <w:sz w:val="19"/>
        </w:rPr>
      </w:pPr>
    </w:p>
    <w:p>
      <w:pPr>
        <w:pStyle w:val="ListParagraph"/>
        <w:numPr>
          <w:ilvl w:val="0"/>
          <w:numId w:val="23"/>
        </w:numPr>
        <w:tabs>
          <w:tab w:pos="1230" w:val="left" w:leader="none"/>
        </w:tabs>
        <w:spacing w:line="240" w:lineRule="auto" w:before="0" w:after="0"/>
        <w:ind w:left="838" w:right="119" w:firstLine="0"/>
        <w:jc w:val="both"/>
        <w:rPr>
          <w:sz w:val="20"/>
        </w:rPr>
      </w:pPr>
      <w:r>
        <w:rPr>
          <w:sz w:val="20"/>
        </w:rPr>
        <w:t>Si el amparo se promueve con fundamento en la fracción II del artículo 1o de esta Ley, deberá precisarse la facultad reservada a los estados u otorgada al Distrito Federal que haya</w:t>
      </w:r>
      <w:r>
        <w:rPr>
          <w:spacing w:val="-26"/>
          <w:sz w:val="20"/>
        </w:rPr>
        <w:t> </w:t>
      </w:r>
      <w:r>
        <w:rPr>
          <w:sz w:val="20"/>
        </w:rPr>
        <w:t>sido invadida por la autoridad federal; si el amparo se promueve con apoyo en la fracción III de dicho artículo, se señalará el precepto de la Constitución General de la República que contenga la facultad de la autoridad federal que haya sido vulnerada o restringida;</w:t>
      </w:r>
      <w:r>
        <w:rPr>
          <w:spacing w:val="-7"/>
          <w:sz w:val="20"/>
        </w:rPr>
        <w:t> </w:t>
      </w:r>
      <w:r>
        <w:rPr>
          <w:sz w:val="20"/>
        </w:rPr>
        <w:t>y</w:t>
      </w:r>
    </w:p>
    <w:p>
      <w:pPr>
        <w:pStyle w:val="BodyText"/>
      </w:pPr>
    </w:p>
    <w:p>
      <w:pPr>
        <w:pStyle w:val="ListParagraph"/>
        <w:numPr>
          <w:ilvl w:val="0"/>
          <w:numId w:val="23"/>
        </w:numPr>
        <w:tabs>
          <w:tab w:pos="1250" w:val="left" w:leader="none"/>
        </w:tabs>
        <w:spacing w:line="240" w:lineRule="auto" w:before="0" w:after="0"/>
        <w:ind w:left="1249" w:right="0" w:hanging="412"/>
        <w:jc w:val="both"/>
        <w:rPr>
          <w:sz w:val="20"/>
        </w:rPr>
      </w:pPr>
      <w:r>
        <w:rPr>
          <w:sz w:val="20"/>
        </w:rPr>
        <w:t>Los conceptos de</w:t>
      </w:r>
      <w:r>
        <w:rPr>
          <w:spacing w:val="-2"/>
          <w:sz w:val="20"/>
        </w:rPr>
        <w:t> </w:t>
      </w:r>
      <w:r>
        <w:rPr>
          <w:sz w:val="20"/>
        </w:rPr>
        <w:t>violación.</w:t>
      </w:r>
    </w:p>
    <w:p>
      <w:pPr>
        <w:pStyle w:val="BodyText"/>
        <w:spacing w:before="10"/>
        <w:rPr>
          <w:sz w:val="19"/>
        </w:rPr>
      </w:pPr>
    </w:p>
    <w:p>
      <w:pPr>
        <w:pStyle w:val="BodyText"/>
        <w:spacing w:line="242" w:lineRule="auto" w:before="1"/>
        <w:ind w:left="118" w:right="124" w:firstLine="288"/>
        <w:jc w:val="both"/>
      </w:pPr>
      <w:bookmarkStart w:name="Artículo_109" w:id="109"/>
      <w:bookmarkEnd w:id="109"/>
      <w:r>
        <w:rPr/>
      </w:r>
      <w:r>
        <w:rPr>
          <w:b/>
        </w:rPr>
        <w:t>Artículo 109. </w:t>
      </w:r>
      <w:r>
        <w:rPr/>
        <w:t>Cuando se promueva el amparo en los términos del artículo 15 de esta Ley, bastará para que se dé trámite a la demanda, que se</w:t>
      </w:r>
      <w:r>
        <w:rPr>
          <w:spacing w:val="-2"/>
        </w:rPr>
        <w:t> </w:t>
      </w:r>
      <w:r>
        <w:rPr/>
        <w:t>exprese:</w:t>
      </w:r>
    </w:p>
    <w:p>
      <w:pPr>
        <w:pStyle w:val="BodyText"/>
        <w:spacing w:before="8"/>
        <w:rPr>
          <w:sz w:val="19"/>
        </w:rPr>
      </w:pPr>
    </w:p>
    <w:p>
      <w:pPr>
        <w:pStyle w:val="ListParagraph"/>
        <w:numPr>
          <w:ilvl w:val="0"/>
          <w:numId w:val="24"/>
        </w:numPr>
        <w:tabs>
          <w:tab w:pos="1005" w:val="left" w:leader="none"/>
        </w:tabs>
        <w:spacing w:line="240" w:lineRule="auto" w:before="0" w:after="0"/>
        <w:ind w:left="1004" w:right="0" w:hanging="167"/>
        <w:jc w:val="both"/>
        <w:rPr>
          <w:sz w:val="20"/>
        </w:rPr>
      </w:pPr>
      <w:r>
        <w:rPr>
          <w:sz w:val="20"/>
        </w:rPr>
        <w:t>El acto</w:t>
      </w:r>
      <w:r>
        <w:rPr>
          <w:spacing w:val="-4"/>
          <w:sz w:val="20"/>
        </w:rPr>
        <w:t> </w:t>
      </w:r>
      <w:r>
        <w:rPr>
          <w:sz w:val="20"/>
        </w:rPr>
        <w:t>reclamado;</w:t>
      </w:r>
    </w:p>
    <w:p>
      <w:pPr>
        <w:pStyle w:val="BodyText"/>
        <w:spacing w:before="9"/>
        <w:rPr>
          <w:sz w:val="19"/>
        </w:rPr>
      </w:pPr>
    </w:p>
    <w:p>
      <w:pPr>
        <w:pStyle w:val="ListParagraph"/>
        <w:numPr>
          <w:ilvl w:val="0"/>
          <w:numId w:val="24"/>
        </w:numPr>
        <w:tabs>
          <w:tab w:pos="1060" w:val="left" w:leader="none"/>
        </w:tabs>
        <w:spacing w:line="240" w:lineRule="auto" w:before="1" w:after="0"/>
        <w:ind w:left="1059" w:right="0" w:hanging="222"/>
        <w:jc w:val="both"/>
        <w:rPr>
          <w:sz w:val="20"/>
        </w:rPr>
      </w:pPr>
      <w:r>
        <w:rPr>
          <w:sz w:val="20"/>
        </w:rPr>
        <w:t>La autoridad que lo hubiere ordenado, si fuere</w:t>
      </w:r>
      <w:r>
        <w:rPr>
          <w:spacing w:val="-15"/>
          <w:sz w:val="20"/>
        </w:rPr>
        <w:t> </w:t>
      </w:r>
      <w:r>
        <w:rPr>
          <w:sz w:val="20"/>
        </w:rPr>
        <w:t>posible;</w:t>
      </w:r>
    </w:p>
    <w:p>
      <w:pPr>
        <w:pStyle w:val="BodyText"/>
      </w:pPr>
    </w:p>
    <w:p>
      <w:pPr>
        <w:pStyle w:val="ListParagraph"/>
        <w:numPr>
          <w:ilvl w:val="0"/>
          <w:numId w:val="24"/>
        </w:numPr>
        <w:tabs>
          <w:tab w:pos="1115" w:val="left" w:leader="none"/>
        </w:tabs>
        <w:spacing w:line="240" w:lineRule="auto" w:before="1" w:after="0"/>
        <w:ind w:left="1114" w:right="0" w:hanging="277"/>
        <w:jc w:val="both"/>
        <w:rPr>
          <w:sz w:val="20"/>
        </w:rPr>
      </w:pPr>
      <w:r>
        <w:rPr>
          <w:sz w:val="20"/>
        </w:rPr>
        <w:t>La autoridad que ejecute o trate de ejecutar el acto;</w:t>
      </w:r>
      <w:r>
        <w:rPr>
          <w:spacing w:val="-12"/>
          <w:sz w:val="20"/>
        </w:rPr>
        <w:t> </w:t>
      </w:r>
      <w:r>
        <w:rPr>
          <w:sz w:val="20"/>
        </w:rPr>
        <w:t>y</w:t>
      </w:r>
    </w:p>
    <w:p>
      <w:pPr>
        <w:pStyle w:val="BodyText"/>
      </w:pPr>
    </w:p>
    <w:p>
      <w:pPr>
        <w:pStyle w:val="ListParagraph"/>
        <w:numPr>
          <w:ilvl w:val="0"/>
          <w:numId w:val="24"/>
        </w:numPr>
        <w:tabs>
          <w:tab w:pos="1139" w:val="left" w:leader="none"/>
        </w:tabs>
        <w:spacing w:line="240" w:lineRule="auto" w:before="0" w:after="0"/>
        <w:ind w:left="1138" w:right="0" w:hanging="301"/>
        <w:jc w:val="both"/>
        <w:rPr>
          <w:sz w:val="20"/>
        </w:rPr>
      </w:pPr>
      <w:r>
        <w:rPr>
          <w:sz w:val="20"/>
        </w:rPr>
        <w:t>En su caso, el lugar en que se encuentre el</w:t>
      </w:r>
      <w:r>
        <w:rPr>
          <w:spacing w:val="-17"/>
          <w:sz w:val="20"/>
        </w:rPr>
        <w:t> </w:t>
      </w:r>
      <w:r>
        <w:rPr>
          <w:sz w:val="20"/>
        </w:rPr>
        <w:t>quejoso.</w:t>
      </w:r>
    </w:p>
    <w:p>
      <w:pPr>
        <w:pStyle w:val="BodyText"/>
        <w:spacing w:before="1"/>
      </w:pPr>
    </w:p>
    <w:p>
      <w:pPr>
        <w:pStyle w:val="BodyText"/>
        <w:ind w:left="118" w:right="119" w:firstLine="288"/>
        <w:jc w:val="both"/>
      </w:pPr>
      <w:r>
        <w:rPr/>
        <w:t>En estos supuestos, la demanda podrá formularse por escrito, por comparecencia o por medios electrónicos. En este último caso no se requerirá de firma electrónica.</w:t>
      </w:r>
    </w:p>
    <w:p>
      <w:pPr>
        <w:pStyle w:val="BodyText"/>
        <w:spacing w:before="10"/>
        <w:rPr>
          <w:sz w:val="19"/>
        </w:rPr>
      </w:pPr>
    </w:p>
    <w:p>
      <w:pPr>
        <w:pStyle w:val="BodyText"/>
        <w:spacing w:before="1"/>
        <w:ind w:left="118" w:right="119" w:firstLine="288"/>
        <w:jc w:val="both"/>
      </w:pPr>
      <w:bookmarkStart w:name="Artículo_110" w:id="110"/>
      <w:bookmarkEnd w:id="110"/>
      <w:r>
        <w:rPr/>
      </w:r>
      <w:r>
        <w:rPr>
          <w:b/>
        </w:rPr>
        <w:t>Artículo 110. </w:t>
      </w:r>
      <w:r>
        <w:rPr/>
        <w:t>Con la demanda se exhibirán copias para cada una de las partes y dos para el incidente de suspensión, siempre que se pidiere y no tuviere que concederse de oficio. Esta exigencia no será necesaria en los casos que la demanda se presente en forma electrónica.</w:t>
      </w:r>
    </w:p>
    <w:p>
      <w:pPr>
        <w:pStyle w:val="BodyText"/>
        <w:spacing w:before="2"/>
      </w:pPr>
    </w:p>
    <w:p>
      <w:pPr>
        <w:pStyle w:val="BodyText"/>
        <w:ind w:left="118" w:right="117" w:firstLine="288"/>
        <w:jc w:val="both"/>
      </w:pPr>
      <w:r>
        <w:rP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pPr>
        <w:spacing w:after="0"/>
        <w:jc w:val="both"/>
        <w:sectPr>
          <w:pgSz w:w="12240" w:h="15840"/>
          <w:pgMar w:header="708" w:footer="712" w:top="1760" w:bottom="900" w:left="1300" w:right="1300"/>
        </w:sectPr>
      </w:pPr>
    </w:p>
    <w:p>
      <w:pPr>
        <w:pStyle w:val="BodyText"/>
        <w:spacing w:before="5"/>
        <w:rPr>
          <w:sz w:val="27"/>
        </w:rPr>
      </w:pPr>
    </w:p>
    <w:p>
      <w:pPr>
        <w:spacing w:before="93"/>
        <w:ind w:left="406" w:right="0" w:firstLine="0"/>
        <w:jc w:val="left"/>
        <w:rPr>
          <w:sz w:val="20"/>
        </w:rPr>
      </w:pPr>
      <w:bookmarkStart w:name="Artículo_111" w:id="111"/>
      <w:bookmarkEnd w:id="111"/>
      <w:r>
        <w:rPr/>
      </w:r>
      <w:r>
        <w:rPr>
          <w:b/>
          <w:sz w:val="20"/>
        </w:rPr>
        <w:t>Artículo 111. </w:t>
      </w:r>
      <w:r>
        <w:rPr>
          <w:sz w:val="20"/>
        </w:rPr>
        <w:t>Podrá ampliarse la demanda cuando:</w:t>
      </w:r>
    </w:p>
    <w:p>
      <w:pPr>
        <w:pStyle w:val="BodyText"/>
        <w:spacing w:before="1"/>
      </w:pPr>
    </w:p>
    <w:p>
      <w:pPr>
        <w:pStyle w:val="ListParagraph"/>
        <w:numPr>
          <w:ilvl w:val="0"/>
          <w:numId w:val="25"/>
        </w:numPr>
        <w:tabs>
          <w:tab w:pos="1005" w:val="left" w:leader="none"/>
        </w:tabs>
        <w:spacing w:line="240" w:lineRule="auto" w:before="0" w:after="0"/>
        <w:ind w:left="1004" w:right="0" w:hanging="167"/>
        <w:jc w:val="both"/>
        <w:rPr>
          <w:sz w:val="20"/>
        </w:rPr>
      </w:pPr>
      <w:r>
        <w:rPr>
          <w:sz w:val="20"/>
        </w:rPr>
        <w:t>No hayan transcurrido los plazos para su</w:t>
      </w:r>
      <w:r>
        <w:rPr>
          <w:spacing w:val="7"/>
          <w:sz w:val="20"/>
        </w:rPr>
        <w:t> </w:t>
      </w:r>
      <w:r>
        <w:rPr>
          <w:sz w:val="20"/>
        </w:rPr>
        <w:t>presentación;</w:t>
      </w:r>
    </w:p>
    <w:p>
      <w:pPr>
        <w:pStyle w:val="BodyText"/>
        <w:spacing w:before="10"/>
        <w:rPr>
          <w:sz w:val="19"/>
        </w:rPr>
      </w:pPr>
    </w:p>
    <w:p>
      <w:pPr>
        <w:pStyle w:val="ListParagraph"/>
        <w:numPr>
          <w:ilvl w:val="0"/>
          <w:numId w:val="25"/>
        </w:numPr>
        <w:tabs>
          <w:tab w:pos="1091" w:val="left" w:leader="none"/>
        </w:tabs>
        <w:spacing w:line="242" w:lineRule="auto" w:before="0" w:after="0"/>
        <w:ind w:left="838" w:right="121" w:firstLine="0"/>
        <w:jc w:val="both"/>
        <w:rPr>
          <w:sz w:val="20"/>
        </w:rPr>
      </w:pPr>
      <w:r>
        <w:rPr>
          <w:sz w:val="20"/>
        </w:rPr>
        <w:t>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w:t>
      </w:r>
      <w:r>
        <w:rPr>
          <w:spacing w:val="1"/>
          <w:sz w:val="20"/>
        </w:rPr>
        <w:t> </w:t>
      </w:r>
      <w:r>
        <w:rPr>
          <w:sz w:val="20"/>
        </w:rPr>
        <w:t>Ley.</w:t>
      </w:r>
    </w:p>
    <w:p>
      <w:pPr>
        <w:pStyle w:val="BodyText"/>
        <w:spacing w:before="4"/>
        <w:rPr>
          <w:sz w:val="19"/>
        </w:rPr>
      </w:pPr>
    </w:p>
    <w:p>
      <w:pPr>
        <w:pStyle w:val="BodyText"/>
        <w:ind w:left="118" w:right="117" w:firstLine="288"/>
        <w:jc w:val="both"/>
      </w:pPr>
      <w:r>
        <w:rPr/>
        <w:t>En el caso de la fracción II, la demanda podrá ampliarse dentro de los plazos referidos en este artículo, siempre que no se haya celebrado la audiencia constitucional o bien presentar una nueva demanda.</w:t>
      </w:r>
    </w:p>
    <w:p>
      <w:pPr>
        <w:pStyle w:val="BodyText"/>
        <w:spacing w:before="10"/>
        <w:rPr>
          <w:sz w:val="11"/>
        </w:rPr>
      </w:pPr>
    </w:p>
    <w:p>
      <w:pPr>
        <w:pStyle w:val="Heading1"/>
        <w:spacing w:before="94"/>
        <w:ind w:left="3904" w:right="3897"/>
      </w:pPr>
      <w:r>
        <w:rPr/>
        <w:t>Sección Segunda Substanciación</w:t>
      </w:r>
    </w:p>
    <w:p>
      <w:pPr>
        <w:pStyle w:val="BodyText"/>
        <w:spacing w:before="9"/>
        <w:rPr>
          <w:b/>
          <w:sz w:val="19"/>
        </w:rPr>
      </w:pPr>
    </w:p>
    <w:p>
      <w:pPr>
        <w:pStyle w:val="BodyText"/>
        <w:spacing w:line="242" w:lineRule="auto" w:before="1"/>
        <w:ind w:left="118" w:right="127" w:firstLine="288"/>
        <w:jc w:val="both"/>
      </w:pPr>
      <w:bookmarkStart w:name="Artículo_112" w:id="112"/>
      <w:bookmarkEnd w:id="112"/>
      <w:r>
        <w:rPr/>
      </w:r>
      <w:r>
        <w:rPr>
          <w:b/>
        </w:rPr>
        <w:t>Artículo 112. </w:t>
      </w:r>
      <w:r>
        <w:rPr/>
        <w:t>Dentro del plazo de veinticuatro horas contado desde que la demanda fue presentada, o en su caso turnada, el órgano jurisdiccional deberá resolver si desecha, previene o admite.</w:t>
      </w:r>
    </w:p>
    <w:p>
      <w:pPr>
        <w:pStyle w:val="BodyText"/>
        <w:spacing w:before="10"/>
        <w:rPr>
          <w:sz w:val="19"/>
        </w:rPr>
      </w:pPr>
    </w:p>
    <w:p>
      <w:pPr>
        <w:pStyle w:val="BodyText"/>
        <w:ind w:left="406"/>
      </w:pPr>
      <w:r>
        <w:rPr/>
        <w:t>En el supuesto de los artículos 15 y 20 de esta Ley deberá proveerse de inmediato.</w:t>
      </w:r>
    </w:p>
    <w:p>
      <w:pPr>
        <w:pStyle w:val="BodyText"/>
        <w:spacing w:before="10"/>
        <w:rPr>
          <w:sz w:val="19"/>
        </w:rPr>
      </w:pPr>
    </w:p>
    <w:p>
      <w:pPr>
        <w:pStyle w:val="BodyText"/>
        <w:ind w:left="118" w:right="107" w:firstLine="288"/>
      </w:pPr>
      <w:bookmarkStart w:name="Artículo_113" w:id="113"/>
      <w:bookmarkEnd w:id="113"/>
      <w:r>
        <w:rPr/>
      </w:r>
      <w:r>
        <w:rPr>
          <w:b/>
        </w:rPr>
        <w:t>Artículo 113. </w:t>
      </w:r>
      <w:r>
        <w:rPr/>
        <w:t>El órgano jurisdiccional que conozca del juicio de amparo indirecto examinará el escrito de demanda y si existiera causa manifiesta e indudable de improcedencia la desechará de plano.</w:t>
      </w:r>
    </w:p>
    <w:p>
      <w:pPr>
        <w:pStyle w:val="BodyText"/>
        <w:spacing w:before="10"/>
        <w:rPr>
          <w:sz w:val="19"/>
        </w:rPr>
      </w:pPr>
    </w:p>
    <w:p>
      <w:pPr>
        <w:pStyle w:val="BodyText"/>
        <w:spacing w:line="242" w:lineRule="auto"/>
        <w:ind w:left="118" w:right="122" w:firstLine="288"/>
        <w:jc w:val="both"/>
      </w:pPr>
      <w:bookmarkStart w:name="Artículo_114" w:id="114"/>
      <w:bookmarkEnd w:id="114"/>
      <w:r>
        <w:rPr/>
      </w:r>
      <w:r>
        <w:rPr>
          <w:b/>
        </w:rPr>
        <w:t>Artículo 114. </w:t>
      </w:r>
      <w:r>
        <w:rPr/>
        <w:t>El órgano jurisdiccional mandará requerir al promovente que aclare la demanda, señalando con precisión en el auto relativo las deficiencias, irregularidades u omisiones que deban corregirse, cuando:</w:t>
      </w:r>
    </w:p>
    <w:p>
      <w:pPr>
        <w:pStyle w:val="BodyText"/>
        <w:spacing w:before="4"/>
        <w:rPr>
          <w:sz w:val="19"/>
        </w:rPr>
      </w:pPr>
    </w:p>
    <w:p>
      <w:pPr>
        <w:pStyle w:val="ListParagraph"/>
        <w:numPr>
          <w:ilvl w:val="0"/>
          <w:numId w:val="26"/>
        </w:numPr>
        <w:tabs>
          <w:tab w:pos="1005" w:val="left" w:leader="none"/>
        </w:tabs>
        <w:spacing w:line="240" w:lineRule="auto" w:before="1" w:after="0"/>
        <w:ind w:left="1004" w:right="0" w:hanging="167"/>
        <w:jc w:val="left"/>
        <w:rPr>
          <w:sz w:val="20"/>
        </w:rPr>
      </w:pPr>
      <w:r>
        <w:rPr>
          <w:sz w:val="20"/>
        </w:rPr>
        <w:t>Hubiere alguna irregularidad en el escrito de</w:t>
      </w:r>
      <w:r>
        <w:rPr>
          <w:spacing w:val="-3"/>
          <w:sz w:val="20"/>
        </w:rPr>
        <w:t> </w:t>
      </w:r>
      <w:r>
        <w:rPr>
          <w:sz w:val="20"/>
        </w:rPr>
        <w:t>demanda;</w:t>
      </w:r>
    </w:p>
    <w:p>
      <w:pPr>
        <w:pStyle w:val="BodyText"/>
      </w:pPr>
    </w:p>
    <w:p>
      <w:pPr>
        <w:pStyle w:val="ListParagraph"/>
        <w:numPr>
          <w:ilvl w:val="0"/>
          <w:numId w:val="26"/>
        </w:numPr>
        <w:tabs>
          <w:tab w:pos="1060" w:val="left" w:leader="none"/>
        </w:tabs>
        <w:spacing w:line="240" w:lineRule="auto" w:before="1" w:after="0"/>
        <w:ind w:left="1059" w:right="0" w:hanging="222"/>
        <w:jc w:val="left"/>
        <w:rPr>
          <w:sz w:val="20"/>
        </w:rPr>
      </w:pPr>
      <w:r>
        <w:rPr>
          <w:sz w:val="20"/>
        </w:rPr>
        <w:t>Se hubiere omitido alguno de los requisitos que establece el artículo 108 de esta</w:t>
      </w:r>
      <w:r>
        <w:rPr>
          <w:spacing w:val="-16"/>
          <w:sz w:val="20"/>
        </w:rPr>
        <w:t> </w:t>
      </w:r>
      <w:r>
        <w:rPr>
          <w:sz w:val="20"/>
        </w:rPr>
        <w:t>Ley;</w:t>
      </w:r>
    </w:p>
    <w:p>
      <w:pPr>
        <w:pStyle w:val="BodyText"/>
      </w:pPr>
    </w:p>
    <w:p>
      <w:pPr>
        <w:pStyle w:val="ListParagraph"/>
        <w:numPr>
          <w:ilvl w:val="0"/>
          <w:numId w:val="26"/>
        </w:numPr>
        <w:tabs>
          <w:tab w:pos="1142" w:val="left" w:leader="none"/>
        </w:tabs>
        <w:spacing w:line="240" w:lineRule="auto" w:before="0" w:after="0"/>
        <w:ind w:left="838" w:right="123" w:firstLine="0"/>
        <w:jc w:val="left"/>
        <w:rPr>
          <w:sz w:val="20"/>
        </w:rPr>
      </w:pPr>
      <w:r>
        <w:rPr>
          <w:sz w:val="20"/>
        </w:rPr>
        <w:t>No se hubiere acompañado, en su caso, el documento que acredite la personalidad o éste resulte insuficiente;</w:t>
      </w:r>
    </w:p>
    <w:p>
      <w:pPr>
        <w:pStyle w:val="BodyText"/>
        <w:spacing w:before="11"/>
        <w:rPr>
          <w:sz w:val="19"/>
        </w:rPr>
      </w:pPr>
    </w:p>
    <w:p>
      <w:pPr>
        <w:pStyle w:val="ListParagraph"/>
        <w:numPr>
          <w:ilvl w:val="0"/>
          <w:numId w:val="26"/>
        </w:numPr>
        <w:tabs>
          <w:tab w:pos="1137" w:val="left" w:leader="none"/>
        </w:tabs>
        <w:spacing w:line="240" w:lineRule="auto" w:before="0" w:after="0"/>
        <w:ind w:left="1136" w:right="0" w:hanging="299"/>
        <w:jc w:val="left"/>
        <w:rPr>
          <w:sz w:val="20"/>
        </w:rPr>
      </w:pPr>
      <w:r>
        <w:rPr>
          <w:sz w:val="20"/>
        </w:rPr>
        <w:t>No se hubiere expresado con precisión el acto reclamado;</w:t>
      </w:r>
      <w:r>
        <w:rPr>
          <w:spacing w:val="-9"/>
          <w:sz w:val="20"/>
        </w:rPr>
        <w:t> </w:t>
      </w:r>
      <w:r>
        <w:rPr>
          <w:sz w:val="20"/>
        </w:rPr>
        <w:t>y</w:t>
      </w:r>
    </w:p>
    <w:p>
      <w:pPr>
        <w:pStyle w:val="BodyText"/>
      </w:pPr>
    </w:p>
    <w:p>
      <w:pPr>
        <w:pStyle w:val="ListParagraph"/>
        <w:numPr>
          <w:ilvl w:val="0"/>
          <w:numId w:val="26"/>
        </w:numPr>
        <w:tabs>
          <w:tab w:pos="1082" w:val="left" w:leader="none"/>
        </w:tabs>
        <w:spacing w:line="240" w:lineRule="auto" w:before="1" w:after="0"/>
        <w:ind w:left="1081" w:right="0" w:hanging="244"/>
        <w:jc w:val="left"/>
        <w:rPr>
          <w:sz w:val="20"/>
        </w:rPr>
      </w:pPr>
      <w:r>
        <w:rPr>
          <w:sz w:val="20"/>
        </w:rPr>
        <w:t>No se hubieren exhibido las copias necesarias de la</w:t>
      </w:r>
      <w:r>
        <w:rPr>
          <w:spacing w:val="-4"/>
          <w:sz w:val="20"/>
        </w:rPr>
        <w:t> </w:t>
      </w:r>
      <w:r>
        <w:rPr>
          <w:sz w:val="20"/>
        </w:rPr>
        <w:t>demanda.</w:t>
      </w:r>
    </w:p>
    <w:p>
      <w:pPr>
        <w:pStyle w:val="BodyText"/>
      </w:pPr>
    </w:p>
    <w:p>
      <w:pPr>
        <w:pStyle w:val="BodyText"/>
        <w:ind w:left="118" w:right="338" w:firstLine="288"/>
      </w:pPr>
      <w:r>
        <w:rPr/>
        <w:t>Si no se subsanan las deficiencias, irregularidades u omisiones de la demanda dentro del plazo de cinco días, se tendrá por no presentada.</w:t>
      </w:r>
    </w:p>
    <w:p>
      <w:pPr>
        <w:pStyle w:val="BodyText"/>
        <w:spacing w:before="1"/>
      </w:pPr>
    </w:p>
    <w:p>
      <w:pPr>
        <w:pStyle w:val="BodyText"/>
        <w:spacing w:before="1"/>
        <w:ind w:left="118" w:right="107" w:firstLine="288"/>
      </w:pPr>
      <w:r>
        <w:rPr/>
        <w:t>En caso de falta de copias, se estará a lo dispuesto por el artículo 110 de esta Ley. La falta de exhibición de las copias para el incidente de suspensión, sólo dará lugar a la postergación de su apertura.</w:t>
      </w:r>
    </w:p>
    <w:p>
      <w:pPr>
        <w:pStyle w:val="BodyText"/>
        <w:spacing w:before="8"/>
        <w:rPr>
          <w:sz w:val="19"/>
        </w:rPr>
      </w:pPr>
    </w:p>
    <w:p>
      <w:pPr>
        <w:pStyle w:val="BodyText"/>
        <w:ind w:left="118" w:right="122" w:firstLine="288"/>
        <w:jc w:val="both"/>
      </w:pPr>
      <w:bookmarkStart w:name="Artículo_115" w:id="115"/>
      <w:bookmarkEnd w:id="115"/>
      <w:r>
        <w:rPr/>
      </w:r>
      <w:r>
        <w:rPr>
          <w:b/>
        </w:rPr>
        <w:t>Artículo 115. </w:t>
      </w:r>
      <w:r>
        <w:rPr/>
        <w:t>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w:t>
      </w:r>
      <w:r>
        <w:rPr>
          <w:spacing w:val="-4"/>
        </w:rPr>
        <w:t> </w:t>
      </w:r>
      <w:r>
        <w:rPr/>
        <w:t>suspensión.</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15" w:firstLine="288"/>
        <w:jc w:val="both"/>
      </w:pPr>
      <w:r>
        <w:rPr/>
        <w:t>Cuando a criterio del órgano jurisdiccional exista causa fundada y suficiente, la audiencia constitucional podrá celebrarse en un plazo que no podrá exceder de otros treinta</w:t>
      </w:r>
      <w:r>
        <w:rPr>
          <w:spacing w:val="-11"/>
        </w:rPr>
        <w:t> </w:t>
      </w:r>
      <w:r>
        <w:rPr/>
        <w:t>días.</w:t>
      </w:r>
    </w:p>
    <w:p>
      <w:pPr>
        <w:pStyle w:val="BodyText"/>
        <w:spacing w:before="11"/>
        <w:rPr>
          <w:sz w:val="19"/>
        </w:rPr>
      </w:pPr>
    </w:p>
    <w:p>
      <w:pPr>
        <w:pStyle w:val="BodyText"/>
        <w:ind w:left="118" w:right="126" w:firstLine="288"/>
        <w:jc w:val="both"/>
      </w:pPr>
      <w:bookmarkStart w:name="Artículo_116" w:id="116"/>
      <w:bookmarkEnd w:id="116"/>
      <w:r>
        <w:rPr/>
      </w:r>
      <w:r>
        <w:rPr>
          <w:b/>
        </w:rPr>
        <w:t>Artículo 116. </w:t>
      </w:r>
      <w:r>
        <w:rPr/>
        <w:t>Al pedirse el informe con justificación a la autoridad responsable, se le remitirá copia de la demanda, si no se hubiese enviado al requerir el informe previo.</w:t>
      </w:r>
    </w:p>
    <w:p>
      <w:pPr>
        <w:pStyle w:val="BodyText"/>
        <w:spacing w:before="1"/>
      </w:pPr>
    </w:p>
    <w:p>
      <w:pPr>
        <w:pStyle w:val="BodyText"/>
        <w:ind w:left="118" w:right="123" w:firstLine="288"/>
        <w:jc w:val="both"/>
      </w:pPr>
      <w:r>
        <w:rP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pPr>
        <w:pStyle w:val="BodyText"/>
        <w:spacing w:before="9"/>
        <w:rPr>
          <w:sz w:val="19"/>
        </w:rPr>
      </w:pPr>
    </w:p>
    <w:p>
      <w:pPr>
        <w:pStyle w:val="BodyText"/>
        <w:spacing w:line="242" w:lineRule="auto"/>
        <w:ind w:left="118" w:right="121" w:firstLine="288"/>
        <w:jc w:val="both"/>
      </w:pPr>
      <w:bookmarkStart w:name="Artículo_117" w:id="117"/>
      <w:bookmarkEnd w:id="117"/>
      <w:r>
        <w:rPr/>
      </w:r>
      <w:r>
        <w:rPr>
          <w:b/>
        </w:rPr>
        <w:t>Artículo 117. </w:t>
      </w:r>
      <w:r>
        <w:rPr/>
        <w:t>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pPr>
        <w:pStyle w:val="BodyText"/>
        <w:spacing w:before="7"/>
        <w:rPr>
          <w:sz w:val="19"/>
        </w:rPr>
      </w:pPr>
    </w:p>
    <w:p>
      <w:pPr>
        <w:pStyle w:val="BodyText"/>
        <w:ind w:left="118" w:right="116" w:firstLine="288"/>
        <w:jc w:val="both"/>
      </w:pPr>
      <w:r>
        <w:rP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pPr>
        <w:pStyle w:val="BodyText"/>
        <w:spacing w:before="1"/>
      </w:pPr>
    </w:p>
    <w:p>
      <w:pPr>
        <w:pStyle w:val="BodyText"/>
        <w:ind w:left="118" w:right="122" w:firstLine="288"/>
        <w:jc w:val="both"/>
      </w:pPr>
      <w:r>
        <w:rPr/>
        <w:t>En el sistema procesal penal acusatorio, la autoridad jurisdiccional acompañará un índice cronológico del desarrollo de la audiencia en la que se haya dictado el acto reclamado, en el que se indique el orden de intervención de cada una de las partes.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17-06-2016</w:t>
      </w:r>
    </w:p>
    <w:p>
      <w:pPr>
        <w:pStyle w:val="BodyText"/>
        <w:spacing w:before="3"/>
        <w:rPr>
          <w:rFonts w:ascii="Times New Roman"/>
          <w:i/>
        </w:rPr>
      </w:pPr>
    </w:p>
    <w:p>
      <w:pPr>
        <w:pStyle w:val="BodyText"/>
        <w:spacing w:before="1"/>
        <w:ind w:left="118" w:right="120" w:firstLine="288"/>
        <w:jc w:val="both"/>
      </w:pPr>
      <w:r>
        <w:rP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pPr>
        <w:pStyle w:val="BodyText"/>
      </w:pPr>
    </w:p>
    <w:p>
      <w:pPr>
        <w:pStyle w:val="BodyText"/>
        <w:ind w:left="118" w:right="119" w:firstLine="288"/>
        <w:jc w:val="both"/>
      </w:pPr>
      <w:r>
        <w:rP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pPr>
        <w:pStyle w:val="BodyText"/>
        <w:spacing w:before="11"/>
        <w:rPr>
          <w:sz w:val="19"/>
        </w:rPr>
      </w:pPr>
    </w:p>
    <w:p>
      <w:pPr>
        <w:pStyle w:val="BodyText"/>
        <w:ind w:left="118" w:right="115" w:firstLine="288"/>
        <w:jc w:val="both"/>
      </w:pPr>
      <w:r>
        <w:rPr/>
        <w:t>En amparos en materia agraria, además, se expresarán nombre y domicilio del tercero interesado, 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w:t>
      </w:r>
      <w:r>
        <w:rPr>
          <w:spacing w:val="-2"/>
        </w:rPr>
        <w:t> </w:t>
      </w:r>
      <w:r>
        <w:rPr/>
        <w:t>partes.</w:t>
      </w:r>
    </w:p>
    <w:p>
      <w:pPr>
        <w:pStyle w:val="BodyText"/>
        <w:spacing w:before="11"/>
        <w:rPr>
          <w:sz w:val="19"/>
        </w:rPr>
      </w:pPr>
    </w:p>
    <w:p>
      <w:pPr>
        <w:pStyle w:val="BodyText"/>
        <w:ind w:left="118" w:right="121" w:firstLine="288"/>
        <w:jc w:val="both"/>
      </w:pPr>
      <w:r>
        <w:rP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pPr>
        <w:pStyle w:val="BodyText"/>
        <w:spacing w:before="1"/>
      </w:pPr>
    </w:p>
    <w:p>
      <w:pPr>
        <w:pStyle w:val="BodyText"/>
        <w:spacing w:before="1"/>
        <w:ind w:left="118" w:right="117" w:firstLine="288"/>
        <w:jc w:val="both"/>
      </w:pPr>
      <w:r>
        <w:rP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al tercero interesado y, en su caso, se emplazará a las diversas autoridades que en ampliación se señalen. Para tales efectos deberá diferirse la audiencia constitucional.</w:t>
      </w:r>
    </w:p>
    <w:p>
      <w:pPr>
        <w:pStyle w:val="BodyText"/>
        <w:spacing w:before="11"/>
        <w:rPr>
          <w:sz w:val="19"/>
        </w:rPr>
      </w:pPr>
    </w:p>
    <w:p>
      <w:pPr>
        <w:pStyle w:val="BodyText"/>
        <w:ind w:left="118" w:right="117" w:firstLine="288"/>
        <w:jc w:val="both"/>
      </w:pPr>
      <w:bookmarkStart w:name="Artículo_118" w:id="118"/>
      <w:bookmarkEnd w:id="118"/>
      <w:r>
        <w:rPr/>
      </w:r>
      <w:r>
        <w:rPr>
          <w:b/>
        </w:rPr>
        <w:t>Artículo 118. </w:t>
      </w:r>
      <w:r>
        <w:rPr/>
        <w:t>En los casos en que el quejoso impugne la aplicación por parte de la autoridad responsable de normas generales consideradas inconstitucionales por la jurisprudencia decretada por la Suprema Corte de Justicia de la Nación o por los Plenos de Circuito, el informe con justificación se reducirá a tres días improrrogables, y la celebración de la audiencia se señalará dentro de diez días contados desde el siguiente al de la admisión de la demanda.</w:t>
      </w:r>
    </w:p>
    <w:p>
      <w:pPr>
        <w:pStyle w:val="BodyText"/>
        <w:spacing w:before="9"/>
        <w:rPr>
          <w:sz w:val="19"/>
        </w:rPr>
      </w:pPr>
    </w:p>
    <w:p>
      <w:pPr>
        <w:pStyle w:val="BodyText"/>
        <w:spacing w:line="242" w:lineRule="auto"/>
        <w:ind w:left="118" w:right="119" w:firstLine="288"/>
        <w:jc w:val="both"/>
      </w:pPr>
      <w:bookmarkStart w:name="Artículo_119" w:id="119"/>
      <w:bookmarkEnd w:id="119"/>
      <w:r>
        <w:rPr/>
      </w:r>
      <w:r>
        <w:rPr>
          <w:b/>
        </w:rPr>
        <w:t>Artículo 119. </w:t>
      </w:r>
      <w:r>
        <w:rPr/>
        <w:t>Serán admisibles toda clase de pruebas, excepto la confesional por posiciones. Las pruebas deberán ofrecerse y rendirse en la audiencia constitucional, salvo que esta Ley disponga otra cosa.</w:t>
      </w:r>
    </w:p>
    <w:p>
      <w:pPr>
        <w:pStyle w:val="BodyText"/>
        <w:spacing w:before="9"/>
        <w:rPr>
          <w:sz w:val="19"/>
        </w:rPr>
      </w:pPr>
    </w:p>
    <w:p>
      <w:pPr>
        <w:pStyle w:val="BodyText"/>
        <w:ind w:left="118" w:right="114" w:firstLine="288"/>
        <w:jc w:val="both"/>
      </w:pPr>
      <w:r>
        <w:rPr/>
        <w:t>La documental podrá presentarse con anterioridad, sin perjuicio de que el órgano jurisdiccional haga relación de ella en la audiencia y la tenga como recibida en ese acto, aunque no exista gestión expresa del interesado.</w:t>
      </w:r>
    </w:p>
    <w:p>
      <w:pPr>
        <w:pStyle w:val="BodyText"/>
        <w:spacing w:before="11"/>
        <w:rPr>
          <w:sz w:val="19"/>
        </w:rPr>
      </w:pPr>
    </w:p>
    <w:p>
      <w:pPr>
        <w:pStyle w:val="BodyText"/>
        <w:ind w:left="118" w:right="126" w:firstLine="288"/>
        <w:jc w:val="both"/>
      </w:pPr>
      <w:r>
        <w:rP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pPr>
        <w:pStyle w:val="BodyText"/>
        <w:spacing w:before="11"/>
        <w:rPr>
          <w:sz w:val="19"/>
        </w:rPr>
      </w:pPr>
    </w:p>
    <w:p>
      <w:pPr>
        <w:pStyle w:val="BodyText"/>
        <w:ind w:left="118" w:right="125" w:firstLine="288"/>
        <w:jc w:val="both"/>
      </w:pPr>
      <w:r>
        <w:rP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pPr>
        <w:pStyle w:val="BodyText"/>
      </w:pPr>
    </w:p>
    <w:p>
      <w:pPr>
        <w:pStyle w:val="BodyText"/>
        <w:ind w:left="118" w:right="124" w:firstLine="288"/>
        <w:jc w:val="both"/>
      </w:pPr>
      <w:r>
        <w:rP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pPr>
        <w:pStyle w:val="BodyText"/>
      </w:pPr>
    </w:p>
    <w:p>
      <w:pPr>
        <w:pStyle w:val="BodyText"/>
        <w:ind w:left="118" w:right="122" w:firstLine="288"/>
        <w:jc w:val="both"/>
      </w:pPr>
      <w:r>
        <w:rPr/>
        <w:t>Cuando falten total o parcialmente las copias a que se refiere el párrafo anterior, se requerirá al oferente para que las presente dentro del plazo de tres días; si no las exhibiere, se tendrá por no ofrecida la prueba.</w:t>
      </w:r>
    </w:p>
    <w:p>
      <w:pPr>
        <w:pStyle w:val="BodyText"/>
        <w:spacing w:before="2"/>
      </w:pPr>
    </w:p>
    <w:p>
      <w:pPr>
        <w:pStyle w:val="BodyText"/>
        <w:ind w:left="118" w:right="122" w:firstLine="288"/>
        <w:jc w:val="both"/>
      </w:pPr>
      <w:r>
        <w:rP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w:t>
      </w:r>
      <w:r>
        <w:rPr>
          <w:spacing w:val="-16"/>
        </w:rPr>
        <w:t> </w:t>
      </w:r>
      <w:r>
        <w:rPr/>
        <w:t>audiencia.</w:t>
      </w:r>
    </w:p>
    <w:p>
      <w:pPr>
        <w:pStyle w:val="BodyText"/>
        <w:spacing w:before="8"/>
        <w:rPr>
          <w:sz w:val="19"/>
        </w:rPr>
      </w:pPr>
    </w:p>
    <w:p>
      <w:pPr>
        <w:pStyle w:val="BodyText"/>
        <w:spacing w:before="1"/>
        <w:ind w:left="118" w:right="120" w:firstLine="288"/>
        <w:jc w:val="both"/>
      </w:pPr>
      <w:bookmarkStart w:name="Artículo_120" w:id="120"/>
      <w:bookmarkEnd w:id="120"/>
      <w:r>
        <w:rPr/>
      </w:r>
      <w:r>
        <w:rPr>
          <w:b/>
        </w:rPr>
        <w:t>Artículo 120. </w:t>
      </w:r>
      <w:r>
        <w:rPr/>
        <w:t>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admisorio de la prueba.</w:t>
      </w:r>
    </w:p>
    <w:p>
      <w:pPr>
        <w:pStyle w:val="BodyText"/>
        <w:spacing w:before="2"/>
      </w:pPr>
    </w:p>
    <w:p>
      <w:pPr>
        <w:pStyle w:val="BodyText"/>
        <w:spacing w:before="1"/>
        <w:ind w:left="118" w:right="117" w:firstLine="288"/>
        <w:jc w:val="both"/>
      </w:pPr>
      <w:r>
        <w:rPr/>
        <w:t>Los peritos no son recusables, pero el nombrado por el órgano jurisdiccional de amparo deberá excusarse de dictaminar cuando exista alguna de las causas de impedimento a que se refiere el artículo</w:t>
      </w:r>
    </w:p>
    <w:p>
      <w:pPr>
        <w:pStyle w:val="BodyText"/>
        <w:spacing w:line="237" w:lineRule="auto" w:before="2"/>
        <w:ind w:left="118" w:right="338"/>
      </w:pPr>
      <w:r>
        <w:rPr/>
        <w:t>51 de esta Ley. Al aceptar su nombramiento manifestará bajo protesta de decir verdad que no se encuentra en la hipótesis de esos impedimentos.</w:t>
      </w:r>
    </w:p>
    <w:p>
      <w:pPr>
        <w:spacing w:after="0" w:line="237" w:lineRule="auto"/>
        <w:sectPr>
          <w:pgSz w:w="12240" w:h="15840"/>
          <w:pgMar w:header="708" w:footer="712" w:top="1760" w:bottom="900" w:left="1300" w:right="1300"/>
        </w:sectPr>
      </w:pPr>
    </w:p>
    <w:p>
      <w:pPr>
        <w:pStyle w:val="BodyText"/>
        <w:spacing w:before="5"/>
        <w:rPr>
          <w:sz w:val="27"/>
        </w:rPr>
      </w:pPr>
    </w:p>
    <w:p>
      <w:pPr>
        <w:pStyle w:val="BodyText"/>
        <w:spacing w:before="93"/>
        <w:ind w:left="118" w:right="115" w:firstLine="288"/>
        <w:jc w:val="both"/>
      </w:pPr>
      <w:bookmarkStart w:name="Artículo_121" w:id="121"/>
      <w:bookmarkEnd w:id="121"/>
      <w:r>
        <w:rPr/>
      </w:r>
      <w:r>
        <w:rPr>
          <w:b/>
        </w:rPr>
        <w:t>Artículo 121. </w:t>
      </w:r>
      <w:r>
        <w:rPr/>
        <w:t>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w:t>
      </w:r>
      <w:r>
        <w:rPr>
          <w:spacing w:val="-15"/>
        </w:rPr>
        <w:t> </w:t>
      </w:r>
      <w:r>
        <w:rPr/>
        <w:t>días</w:t>
      </w:r>
    </w:p>
    <w:p>
      <w:pPr>
        <w:pStyle w:val="BodyText"/>
        <w:spacing w:before="3"/>
      </w:pPr>
    </w:p>
    <w:p>
      <w:pPr>
        <w:pStyle w:val="BodyText"/>
        <w:ind w:left="118" w:right="116" w:firstLine="288"/>
        <w:jc w:val="both"/>
      </w:pPr>
      <w:r>
        <w:rPr/>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pPr>
        <w:pStyle w:val="BodyText"/>
      </w:pPr>
    </w:p>
    <w:p>
      <w:pPr>
        <w:pStyle w:val="BodyText"/>
        <w:spacing w:before="1"/>
        <w:ind w:left="118" w:right="124" w:firstLine="288"/>
        <w:jc w:val="both"/>
      </w:pPr>
      <w:r>
        <w:rPr/>
        <w:t>Si se trata de actuaciones concluidas, podrán pedirse originales a instancia de cualquiera de las partes.</w:t>
      </w:r>
    </w:p>
    <w:p>
      <w:pPr>
        <w:pStyle w:val="BodyText"/>
        <w:spacing w:before="7"/>
        <w:rPr>
          <w:sz w:val="19"/>
        </w:rPr>
      </w:pPr>
    </w:p>
    <w:p>
      <w:pPr>
        <w:pStyle w:val="BodyText"/>
        <w:spacing w:before="1"/>
        <w:ind w:left="118" w:right="118" w:firstLine="288"/>
        <w:jc w:val="both"/>
      </w:pPr>
      <w:bookmarkStart w:name="Artículo_122" w:id="122"/>
      <w:bookmarkEnd w:id="122"/>
      <w:r>
        <w:rPr/>
      </w:r>
      <w:r>
        <w:rPr>
          <w:b/>
        </w:rPr>
        <w:t>Artículo 122. </w:t>
      </w:r>
      <w:r>
        <w:rPr/>
        <w:t>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pPr>
        <w:pStyle w:val="BodyText"/>
      </w:pPr>
    </w:p>
    <w:p>
      <w:pPr>
        <w:pStyle w:val="BodyText"/>
        <w:spacing w:line="242" w:lineRule="auto"/>
        <w:ind w:left="118" w:right="118" w:firstLine="288"/>
        <w:jc w:val="both"/>
      </w:pPr>
      <w:bookmarkStart w:name="Artículo_123" w:id="123"/>
      <w:bookmarkEnd w:id="123"/>
      <w:r>
        <w:rPr/>
      </w:r>
      <w:r>
        <w:rPr>
          <w:b/>
        </w:rPr>
        <w:t>Artículo 123. </w:t>
      </w:r>
      <w:r>
        <w:rPr/>
        <w:t>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pPr>
        <w:pStyle w:val="BodyText"/>
        <w:spacing w:before="2"/>
        <w:rPr>
          <w:sz w:val="19"/>
        </w:rPr>
      </w:pPr>
    </w:p>
    <w:p>
      <w:pPr>
        <w:pStyle w:val="BodyText"/>
        <w:spacing w:line="242" w:lineRule="auto" w:before="1"/>
        <w:ind w:left="118" w:right="123" w:firstLine="288"/>
        <w:jc w:val="both"/>
      </w:pPr>
      <w:bookmarkStart w:name="Artículo_124" w:id="124"/>
      <w:bookmarkEnd w:id="124"/>
      <w:r>
        <w:rPr/>
      </w:r>
      <w:r>
        <w:rPr>
          <w:b/>
        </w:rPr>
        <w:t>Artículo 124. </w:t>
      </w:r>
      <w:r>
        <w:rPr/>
        <w:t>Las audiencias serán públicas. Abierta la audiencia, se procederá a la relación de constancias, videograbaciones analizadas íntegramente y pruebas desahogadas, y se recibirán, por su orden, las que falten por desahogarse y los alegatos por escrito que formulen las partes; acto continuo se dictará el fallo que corresponda.</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3"/>
        <w:rPr>
          <w:rFonts w:ascii="Times New Roman"/>
          <w:i/>
        </w:rPr>
      </w:pPr>
    </w:p>
    <w:p>
      <w:pPr>
        <w:pStyle w:val="BodyText"/>
        <w:spacing w:before="1"/>
        <w:ind w:left="118" w:right="123" w:firstLine="288"/>
        <w:jc w:val="both"/>
      </w:pPr>
      <w:r>
        <w:rP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w:t>
      </w:r>
      <w:r>
        <w:rPr>
          <w:spacing w:val="-2"/>
        </w:rPr>
        <w:t> </w:t>
      </w:r>
      <w:r>
        <w:rPr/>
        <w:t>solicitare.</w:t>
      </w:r>
    </w:p>
    <w:p>
      <w:pPr>
        <w:pStyle w:val="BodyText"/>
      </w:pPr>
    </w:p>
    <w:p>
      <w:pPr>
        <w:pStyle w:val="BodyText"/>
        <w:ind w:left="118" w:right="116" w:firstLine="288"/>
        <w:jc w:val="both"/>
      </w:pPr>
      <w:r>
        <w:rPr/>
        <w:t>En los asuntos del orden administrativo, en la sentencia se analizará el acto reclamado considerando la fundamentación y motivación que para complementarlo haya expresado la autoridad responsable en el informe justificado. Ante la falta o insuficiencia de aquéllas, en la sentencia concesoria se estimará que el referido acto presenta un vicio de fondo que impide a la autoridad su reiteración.</w:t>
      </w:r>
    </w:p>
    <w:p>
      <w:pPr>
        <w:pStyle w:val="BodyText"/>
        <w:spacing w:before="10"/>
        <w:rPr>
          <w:sz w:val="19"/>
        </w:rPr>
      </w:pPr>
    </w:p>
    <w:p>
      <w:pPr>
        <w:pStyle w:val="Heading1"/>
        <w:ind w:left="3114" w:right="3095" w:firstLine="856"/>
        <w:jc w:val="left"/>
      </w:pPr>
      <w:r>
        <w:rPr/>
        <w:t>Sección Tercera Suspensión del Acto Reclamado</w:t>
      </w:r>
    </w:p>
    <w:p>
      <w:pPr>
        <w:pStyle w:val="BodyText"/>
        <w:spacing w:before="11"/>
        <w:rPr>
          <w:b/>
          <w:sz w:val="21"/>
        </w:rPr>
      </w:pPr>
    </w:p>
    <w:p>
      <w:pPr>
        <w:spacing w:before="0"/>
        <w:ind w:left="3897" w:right="3892" w:firstLine="1"/>
        <w:jc w:val="center"/>
        <w:rPr>
          <w:b/>
          <w:sz w:val="22"/>
        </w:rPr>
      </w:pPr>
      <w:r>
        <w:rPr>
          <w:b/>
          <w:sz w:val="22"/>
        </w:rPr>
        <w:t>Primera Parte Reglas Generales</w:t>
      </w:r>
    </w:p>
    <w:p>
      <w:pPr>
        <w:spacing w:after="0"/>
        <w:jc w:val="center"/>
        <w:rPr>
          <w:sz w:val="22"/>
        </w:rPr>
        <w:sectPr>
          <w:pgSz w:w="12240" w:h="15840"/>
          <w:pgMar w:header="708" w:footer="712" w:top="1760" w:bottom="900" w:left="1300" w:right="1300"/>
        </w:sectPr>
      </w:pPr>
    </w:p>
    <w:p>
      <w:pPr>
        <w:pStyle w:val="BodyText"/>
        <w:spacing w:before="5"/>
        <w:rPr>
          <w:b/>
          <w:sz w:val="27"/>
        </w:rPr>
      </w:pPr>
    </w:p>
    <w:p>
      <w:pPr>
        <w:pStyle w:val="BodyText"/>
        <w:spacing w:before="93"/>
        <w:ind w:left="406"/>
      </w:pPr>
      <w:bookmarkStart w:name="Artículo_125" w:id="125"/>
      <w:bookmarkEnd w:id="125"/>
      <w:r>
        <w:rPr/>
      </w:r>
      <w:r>
        <w:rPr>
          <w:b/>
        </w:rPr>
        <w:t>Artículo 125. </w:t>
      </w:r>
      <w:r>
        <w:rPr/>
        <w:t>La suspensión del acto reclamado se decretará de oficio o a petición del quejoso.</w:t>
      </w:r>
    </w:p>
    <w:p>
      <w:pPr>
        <w:pStyle w:val="BodyText"/>
        <w:spacing w:before="1"/>
      </w:pPr>
    </w:p>
    <w:p>
      <w:pPr>
        <w:pStyle w:val="BodyText"/>
        <w:ind w:left="118" w:right="116" w:firstLine="288"/>
        <w:jc w:val="both"/>
      </w:pPr>
      <w:bookmarkStart w:name="Artículo_126" w:id="126"/>
      <w:bookmarkEnd w:id="126"/>
      <w:r>
        <w:rPr/>
      </w:r>
      <w:r>
        <w:rPr>
          <w:b/>
        </w:rPr>
        <w:t>Artículo 126. </w:t>
      </w:r>
      <w:r>
        <w:rPr/>
        <w:t>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BodyText"/>
        <w:spacing w:before="2"/>
      </w:pPr>
    </w:p>
    <w:p>
      <w:pPr>
        <w:pStyle w:val="BodyText"/>
        <w:ind w:left="118" w:right="127" w:firstLine="288"/>
        <w:jc w:val="both"/>
      </w:pPr>
      <w:r>
        <w:rPr/>
        <w:t>En este caso, la suspensión se decretará en el auto de admisión de la demanda, comunicándose sin demora a la autoridad responsable, por cualquier medio que permita lograr su inmediato cumplimiento.</w:t>
      </w:r>
    </w:p>
    <w:p>
      <w:pPr>
        <w:pStyle w:val="BodyText"/>
        <w:spacing w:before="11"/>
        <w:rPr>
          <w:sz w:val="19"/>
        </w:rPr>
      </w:pPr>
    </w:p>
    <w:p>
      <w:pPr>
        <w:pStyle w:val="BodyText"/>
        <w:ind w:left="118" w:right="124" w:firstLine="288"/>
        <w:jc w:val="both"/>
      </w:pPr>
      <w:r>
        <w:rP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pPr>
        <w:pStyle w:val="BodyText"/>
        <w:spacing w:before="9"/>
        <w:rPr>
          <w:sz w:val="19"/>
        </w:rPr>
      </w:pPr>
    </w:p>
    <w:p>
      <w:pPr>
        <w:pStyle w:val="BodyText"/>
        <w:spacing w:line="242" w:lineRule="auto"/>
        <w:ind w:left="118" w:right="124" w:firstLine="288"/>
        <w:jc w:val="both"/>
      </w:pPr>
      <w:bookmarkStart w:name="Artículo_127" w:id="127"/>
      <w:bookmarkEnd w:id="127"/>
      <w:r>
        <w:rPr/>
      </w:r>
      <w:r>
        <w:rPr>
          <w:b/>
        </w:rPr>
        <w:t>Artículo 127. </w:t>
      </w:r>
      <w:r>
        <w:rPr/>
        <w:t>El incidente de suspensión se abrirá de oficio y se sujetará en lo conducente al trámite previsto para la suspensión a instancia de parte, en los siguientes casos:</w:t>
      </w:r>
    </w:p>
    <w:p>
      <w:pPr>
        <w:pStyle w:val="BodyText"/>
        <w:spacing w:before="8"/>
        <w:rPr>
          <w:sz w:val="19"/>
        </w:rPr>
      </w:pPr>
    </w:p>
    <w:p>
      <w:pPr>
        <w:pStyle w:val="ListParagraph"/>
        <w:numPr>
          <w:ilvl w:val="0"/>
          <w:numId w:val="27"/>
        </w:numPr>
        <w:tabs>
          <w:tab w:pos="1005" w:val="left" w:leader="none"/>
        </w:tabs>
        <w:spacing w:line="240" w:lineRule="auto" w:before="0" w:after="0"/>
        <w:ind w:left="1004" w:right="0" w:hanging="167"/>
        <w:jc w:val="left"/>
        <w:rPr>
          <w:sz w:val="20"/>
        </w:rPr>
      </w:pPr>
      <w:r>
        <w:rPr>
          <w:sz w:val="20"/>
        </w:rPr>
        <w:t>Extradición;</w:t>
      </w:r>
      <w:r>
        <w:rPr>
          <w:spacing w:val="2"/>
          <w:sz w:val="20"/>
        </w:rPr>
        <w:t> </w:t>
      </w:r>
      <w:r>
        <w:rPr>
          <w:sz w:val="20"/>
        </w:rPr>
        <w:t>y</w:t>
      </w:r>
    </w:p>
    <w:p>
      <w:pPr>
        <w:pStyle w:val="BodyText"/>
        <w:spacing w:before="1"/>
      </w:pPr>
    </w:p>
    <w:p>
      <w:pPr>
        <w:pStyle w:val="ListParagraph"/>
        <w:numPr>
          <w:ilvl w:val="0"/>
          <w:numId w:val="27"/>
        </w:numPr>
        <w:tabs>
          <w:tab w:pos="1072" w:val="left" w:leader="none"/>
        </w:tabs>
        <w:spacing w:line="240" w:lineRule="auto" w:before="0" w:after="0"/>
        <w:ind w:left="838" w:right="122" w:firstLine="0"/>
        <w:jc w:val="left"/>
        <w:rPr>
          <w:sz w:val="20"/>
        </w:rPr>
      </w:pPr>
      <w:r>
        <w:rPr>
          <w:sz w:val="20"/>
        </w:rPr>
        <w:t>Siempre que se trate de algún acto que, si llegare a consumarse, haría físicamente imposible restituir al quejoso en el goce del derecho reclamado.</w:t>
      </w:r>
    </w:p>
    <w:p>
      <w:pPr>
        <w:pStyle w:val="BodyText"/>
        <w:spacing w:before="10"/>
        <w:rPr>
          <w:sz w:val="19"/>
        </w:rPr>
      </w:pPr>
    </w:p>
    <w:p>
      <w:pPr>
        <w:pStyle w:val="BodyText"/>
        <w:spacing w:line="242" w:lineRule="auto"/>
        <w:ind w:left="118" w:right="121" w:firstLine="288"/>
        <w:jc w:val="both"/>
      </w:pPr>
      <w:bookmarkStart w:name="Artículo_128" w:id="128"/>
      <w:bookmarkEnd w:id="128"/>
      <w:r>
        <w:rPr/>
      </w:r>
      <w:r>
        <w:rPr>
          <w:b/>
        </w:rPr>
        <w:t>Artículo 128. </w:t>
      </w:r>
      <w:r>
        <w:rPr/>
        <w:t>Con excepción de los casos en que proceda de oficio, la suspensión se decretará, en todas las materias salvo las señaladas en el último párrafo de este artículo, siempre que concurran los requisitos siguientes: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 reformado DOF 14-07-2014</w:t>
      </w:r>
    </w:p>
    <w:p>
      <w:pPr>
        <w:pStyle w:val="BodyText"/>
        <w:spacing w:before="10"/>
        <w:rPr>
          <w:rFonts w:ascii="Times New Roman"/>
          <w:i/>
          <w:sz w:val="11"/>
        </w:rPr>
      </w:pPr>
    </w:p>
    <w:p>
      <w:pPr>
        <w:pStyle w:val="ListParagraph"/>
        <w:numPr>
          <w:ilvl w:val="0"/>
          <w:numId w:val="28"/>
        </w:numPr>
        <w:tabs>
          <w:tab w:pos="1005" w:val="left" w:leader="none"/>
        </w:tabs>
        <w:spacing w:line="240" w:lineRule="auto" w:before="93" w:after="0"/>
        <w:ind w:left="1004" w:right="0" w:hanging="167"/>
        <w:jc w:val="left"/>
        <w:rPr>
          <w:sz w:val="20"/>
        </w:rPr>
      </w:pPr>
      <w:r>
        <w:rPr>
          <w:sz w:val="20"/>
        </w:rPr>
        <w:t>Que la solicite el quejoso;</w:t>
      </w:r>
      <w:r>
        <w:rPr>
          <w:spacing w:val="-1"/>
          <w:sz w:val="20"/>
        </w:rPr>
        <w:t> </w:t>
      </w:r>
      <w:r>
        <w:rPr>
          <w:sz w:val="20"/>
        </w:rPr>
        <w:t>y</w:t>
      </w:r>
    </w:p>
    <w:p>
      <w:pPr>
        <w:pStyle w:val="BodyText"/>
      </w:pPr>
    </w:p>
    <w:p>
      <w:pPr>
        <w:pStyle w:val="ListParagraph"/>
        <w:numPr>
          <w:ilvl w:val="0"/>
          <w:numId w:val="28"/>
        </w:numPr>
        <w:tabs>
          <w:tab w:pos="1060" w:val="left" w:leader="none"/>
        </w:tabs>
        <w:spacing w:line="240" w:lineRule="auto" w:before="0" w:after="0"/>
        <w:ind w:left="1059" w:right="0" w:hanging="222"/>
        <w:jc w:val="left"/>
        <w:rPr>
          <w:sz w:val="20"/>
        </w:rPr>
      </w:pPr>
      <w:r>
        <w:rPr>
          <w:sz w:val="20"/>
        </w:rPr>
        <w:t>Que no se siga perjuicio al interés social ni se contravengan disposiciones de orden</w:t>
      </w:r>
      <w:r>
        <w:rPr>
          <w:spacing w:val="-12"/>
          <w:sz w:val="20"/>
        </w:rPr>
        <w:t> </w:t>
      </w:r>
      <w:r>
        <w:rPr>
          <w:sz w:val="20"/>
        </w:rPr>
        <w:t>público.</w:t>
      </w:r>
    </w:p>
    <w:p>
      <w:pPr>
        <w:pStyle w:val="BodyText"/>
        <w:spacing w:before="1"/>
      </w:pPr>
    </w:p>
    <w:p>
      <w:pPr>
        <w:pStyle w:val="BodyText"/>
        <w:ind w:left="406"/>
      </w:pPr>
      <w:r>
        <w:rPr/>
        <w:t>La suspensión se tramitará en incidente por separado y por duplicado.</w:t>
      </w:r>
    </w:p>
    <w:p>
      <w:pPr>
        <w:pStyle w:val="BodyText"/>
        <w:spacing w:before="1"/>
      </w:pPr>
    </w:p>
    <w:p>
      <w:pPr>
        <w:pStyle w:val="BodyText"/>
        <w:ind w:left="118" w:right="118" w:firstLine="288"/>
        <w:jc w:val="both"/>
      </w:pPr>
      <w:r>
        <w:rPr/>
        <w:t>Asimismo, no serán objeto de suspensión las órdenes o medidas de protección dictadas en términos de la legislación aplicable por alguna autoridad administrativa o jurisdiccional para salvaguardar la seguridad o integridad de una persona y la ejecución de una técnica de investigación o medida cautelar concedida por autoridad judicial.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17-06-2016</w:t>
      </w:r>
    </w:p>
    <w:p>
      <w:pPr>
        <w:pStyle w:val="BodyText"/>
        <w:spacing w:before="3"/>
        <w:rPr>
          <w:rFonts w:ascii="Times New Roman"/>
          <w:i/>
        </w:rPr>
      </w:pPr>
    </w:p>
    <w:p>
      <w:pPr>
        <w:pStyle w:val="BodyText"/>
        <w:spacing w:before="1"/>
        <w:ind w:left="118" w:right="117" w:firstLine="288"/>
        <w:jc w:val="both"/>
      </w:pPr>
      <w:r>
        <w:rPr/>
        <w:t>Las normas generales, actos u omisiones del Instituto Federal de Telecomunicaciones y de la Comisión Federal de Competencia Económica, no serán objeto de suspensión. Solamente en los casos en que la Comisión Federal de Competencia Económica imponga multas o la desincorporación de activos, derechos, partes sociales o acciones, éstas se ejecutarán hasta que se resuelva el juicio de amparo que, en su caso, se</w:t>
      </w:r>
      <w:r>
        <w:rPr>
          <w:spacing w:val="-7"/>
        </w:rPr>
        <w:t> </w:t>
      </w:r>
      <w:r>
        <w:rPr/>
        <w:t>promueva.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adicionado DOF 14-07-2014</w:t>
      </w:r>
    </w:p>
    <w:p>
      <w:pPr>
        <w:pStyle w:val="BodyText"/>
        <w:spacing w:before="10"/>
        <w:rPr>
          <w:rFonts w:ascii="Times New Roman"/>
          <w:i/>
          <w:sz w:val="19"/>
        </w:rPr>
      </w:pPr>
    </w:p>
    <w:p>
      <w:pPr>
        <w:pStyle w:val="BodyText"/>
        <w:spacing w:line="242" w:lineRule="auto"/>
        <w:ind w:left="118" w:right="338" w:firstLine="288"/>
      </w:pPr>
      <w:bookmarkStart w:name="Artículo_129" w:id="129"/>
      <w:bookmarkEnd w:id="129"/>
      <w:r>
        <w:rPr/>
      </w:r>
      <w:r>
        <w:rPr>
          <w:b/>
        </w:rPr>
        <w:t>Artículo 129. </w:t>
      </w:r>
      <w:r>
        <w:rPr/>
        <w:t>Se considerará, entre otros casos, que se siguen perjuicios al interés social o se contravienen disposiciones de orden público, cuando, de concederse la suspensión:</w:t>
      </w:r>
    </w:p>
    <w:p>
      <w:pPr>
        <w:pStyle w:val="BodyText"/>
        <w:spacing w:before="8"/>
        <w:rPr>
          <w:sz w:val="19"/>
        </w:rPr>
      </w:pPr>
    </w:p>
    <w:p>
      <w:pPr>
        <w:pStyle w:val="ListParagraph"/>
        <w:numPr>
          <w:ilvl w:val="0"/>
          <w:numId w:val="29"/>
        </w:numPr>
        <w:tabs>
          <w:tab w:pos="1010" w:val="left" w:leader="none"/>
        </w:tabs>
        <w:spacing w:line="242" w:lineRule="auto" w:before="0" w:after="0"/>
        <w:ind w:left="838" w:right="124" w:firstLine="0"/>
        <w:jc w:val="left"/>
        <w:rPr>
          <w:sz w:val="20"/>
        </w:rPr>
      </w:pPr>
      <w:r>
        <w:rPr>
          <w:sz w:val="20"/>
        </w:rPr>
        <w:t>Continúe el funcionamiento de centros de vicio o de lenocinio, así como de establecimientos de juegos con apuestas o</w:t>
      </w:r>
      <w:r>
        <w:rPr>
          <w:spacing w:val="-1"/>
          <w:sz w:val="20"/>
        </w:rPr>
        <w:t> </w:t>
      </w:r>
      <w:r>
        <w:rPr>
          <w:sz w:val="20"/>
        </w:rPr>
        <w:t>sorteos;</w:t>
      </w:r>
    </w:p>
    <w:p>
      <w:pPr>
        <w:spacing w:after="0" w:line="242" w:lineRule="auto"/>
        <w:jc w:val="left"/>
        <w:rPr>
          <w:sz w:val="20"/>
        </w:rPr>
        <w:sectPr>
          <w:pgSz w:w="12240" w:h="15840"/>
          <w:pgMar w:header="708" w:footer="712" w:top="1760" w:bottom="900" w:left="1300" w:right="1300"/>
        </w:sectPr>
      </w:pPr>
    </w:p>
    <w:p>
      <w:pPr>
        <w:pStyle w:val="BodyText"/>
        <w:spacing w:before="5"/>
        <w:rPr>
          <w:sz w:val="27"/>
        </w:rPr>
      </w:pPr>
    </w:p>
    <w:p>
      <w:pPr>
        <w:pStyle w:val="ListParagraph"/>
        <w:numPr>
          <w:ilvl w:val="0"/>
          <w:numId w:val="29"/>
        </w:numPr>
        <w:tabs>
          <w:tab w:pos="1060" w:val="left" w:leader="none"/>
        </w:tabs>
        <w:spacing w:line="240" w:lineRule="auto" w:before="93" w:after="0"/>
        <w:ind w:left="1059" w:right="0" w:hanging="222"/>
        <w:jc w:val="left"/>
        <w:rPr>
          <w:sz w:val="20"/>
        </w:rPr>
      </w:pPr>
      <w:r>
        <w:rPr>
          <w:sz w:val="20"/>
        </w:rPr>
        <w:t>Continúe la producción o el comercio de narcóticos;</w:t>
      </w:r>
    </w:p>
    <w:p>
      <w:pPr>
        <w:pStyle w:val="BodyText"/>
        <w:spacing w:before="1"/>
      </w:pPr>
    </w:p>
    <w:p>
      <w:pPr>
        <w:pStyle w:val="ListParagraph"/>
        <w:numPr>
          <w:ilvl w:val="0"/>
          <w:numId w:val="29"/>
        </w:numPr>
        <w:tabs>
          <w:tab w:pos="1115" w:val="left" w:leader="none"/>
        </w:tabs>
        <w:spacing w:line="240" w:lineRule="auto" w:before="0" w:after="0"/>
        <w:ind w:left="1114" w:right="0" w:hanging="277"/>
        <w:jc w:val="left"/>
        <w:rPr>
          <w:sz w:val="20"/>
        </w:rPr>
      </w:pPr>
      <w:r>
        <w:rPr>
          <w:sz w:val="20"/>
        </w:rPr>
        <w:t>Se permita la consumación o continuación de delitos o de sus</w:t>
      </w:r>
      <w:r>
        <w:rPr>
          <w:spacing w:val="-10"/>
          <w:sz w:val="20"/>
        </w:rPr>
        <w:t> </w:t>
      </w:r>
      <w:r>
        <w:rPr>
          <w:sz w:val="20"/>
        </w:rPr>
        <w:t>efectos;</w:t>
      </w:r>
    </w:p>
    <w:p>
      <w:pPr>
        <w:pStyle w:val="BodyText"/>
        <w:spacing w:before="10"/>
        <w:rPr>
          <w:sz w:val="19"/>
        </w:rPr>
      </w:pPr>
    </w:p>
    <w:p>
      <w:pPr>
        <w:pStyle w:val="ListParagraph"/>
        <w:numPr>
          <w:ilvl w:val="0"/>
          <w:numId w:val="29"/>
        </w:numPr>
        <w:tabs>
          <w:tab w:pos="1156" w:val="left" w:leader="none"/>
        </w:tabs>
        <w:spacing w:line="242" w:lineRule="auto" w:before="0" w:after="0"/>
        <w:ind w:left="838" w:right="122" w:firstLine="0"/>
        <w:jc w:val="both"/>
        <w:rPr>
          <w:sz w:val="20"/>
        </w:rPr>
      </w:pPr>
      <w:r>
        <w:rPr>
          <w:sz w:val="20"/>
        </w:rPr>
        <w:t>Se permita el alza de precios en relación con artículos de primera necesidad o de consumo necesario;</w:t>
      </w:r>
    </w:p>
    <w:p>
      <w:pPr>
        <w:pStyle w:val="BodyText"/>
        <w:spacing w:before="8"/>
        <w:rPr>
          <w:sz w:val="19"/>
        </w:rPr>
      </w:pPr>
    </w:p>
    <w:p>
      <w:pPr>
        <w:pStyle w:val="ListParagraph"/>
        <w:numPr>
          <w:ilvl w:val="0"/>
          <w:numId w:val="29"/>
        </w:numPr>
        <w:tabs>
          <w:tab w:pos="1094" w:val="left" w:leader="none"/>
        </w:tabs>
        <w:spacing w:line="242" w:lineRule="auto" w:before="0" w:after="0"/>
        <w:ind w:left="838" w:right="117" w:firstLine="0"/>
        <w:jc w:val="both"/>
        <w:rPr>
          <w:sz w:val="20"/>
        </w:rPr>
      </w:pPr>
      <w:r>
        <w:rPr>
          <w:sz w:val="20"/>
        </w:rPr>
        <w:t>Se impida la ejecución de medidas para combatir epidemias de carácter grave o el peligro de invasión de enfermedades exóticas en el</w:t>
      </w:r>
      <w:r>
        <w:rPr>
          <w:spacing w:val="-4"/>
          <w:sz w:val="20"/>
        </w:rPr>
        <w:t> </w:t>
      </w:r>
      <w:r>
        <w:rPr>
          <w:sz w:val="20"/>
        </w:rPr>
        <w:t>país;</w:t>
      </w:r>
    </w:p>
    <w:p>
      <w:pPr>
        <w:pStyle w:val="BodyText"/>
        <w:spacing w:before="6"/>
        <w:rPr>
          <w:sz w:val="19"/>
        </w:rPr>
      </w:pPr>
    </w:p>
    <w:p>
      <w:pPr>
        <w:pStyle w:val="ListParagraph"/>
        <w:numPr>
          <w:ilvl w:val="0"/>
          <w:numId w:val="29"/>
        </w:numPr>
        <w:tabs>
          <w:tab w:pos="1139" w:val="left" w:leader="none"/>
        </w:tabs>
        <w:spacing w:line="240" w:lineRule="auto" w:before="0" w:after="0"/>
        <w:ind w:left="1138" w:right="0" w:hanging="301"/>
        <w:jc w:val="left"/>
        <w:rPr>
          <w:sz w:val="20"/>
        </w:rPr>
      </w:pPr>
      <w:r>
        <w:rPr>
          <w:sz w:val="20"/>
        </w:rPr>
        <w:t>Se impida la ejecución de campañas contra el alcoholismo y la</w:t>
      </w:r>
      <w:r>
        <w:rPr>
          <w:spacing w:val="-9"/>
          <w:sz w:val="20"/>
        </w:rPr>
        <w:t> </w:t>
      </w:r>
      <w:r>
        <w:rPr>
          <w:sz w:val="20"/>
        </w:rPr>
        <w:t>drogadicción;</w:t>
      </w:r>
    </w:p>
    <w:p>
      <w:pPr>
        <w:pStyle w:val="BodyText"/>
      </w:pPr>
    </w:p>
    <w:p>
      <w:pPr>
        <w:pStyle w:val="ListParagraph"/>
        <w:numPr>
          <w:ilvl w:val="0"/>
          <w:numId w:val="29"/>
        </w:numPr>
        <w:tabs>
          <w:tab w:pos="1209" w:val="left" w:leader="none"/>
        </w:tabs>
        <w:spacing w:line="240" w:lineRule="auto" w:before="1" w:after="0"/>
        <w:ind w:left="838" w:right="119" w:firstLine="0"/>
        <w:jc w:val="both"/>
        <w:rPr>
          <w:sz w:val="20"/>
        </w:rPr>
      </w:pPr>
      <w:r>
        <w:rPr>
          <w:sz w:val="20"/>
        </w:rPr>
        <w:t>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w:t>
      </w:r>
      <w:r>
        <w:rPr>
          <w:spacing w:val="-4"/>
          <w:sz w:val="20"/>
        </w:rPr>
        <w:t> </w:t>
      </w:r>
      <w:r>
        <w:rPr>
          <w:sz w:val="20"/>
        </w:rPr>
        <w:t>castrense;</w:t>
      </w:r>
    </w:p>
    <w:p>
      <w:pPr>
        <w:pStyle w:val="BodyText"/>
      </w:pPr>
    </w:p>
    <w:p>
      <w:pPr>
        <w:pStyle w:val="ListParagraph"/>
        <w:numPr>
          <w:ilvl w:val="0"/>
          <w:numId w:val="29"/>
        </w:numPr>
        <w:tabs>
          <w:tab w:pos="1264" w:val="left" w:leader="none"/>
        </w:tabs>
        <w:spacing w:line="242" w:lineRule="auto" w:before="0" w:after="0"/>
        <w:ind w:left="838" w:right="116" w:firstLine="0"/>
        <w:jc w:val="both"/>
        <w:rPr>
          <w:sz w:val="20"/>
        </w:rPr>
      </w:pPr>
      <w:r>
        <w:rPr>
          <w:sz w:val="20"/>
        </w:rPr>
        <w:t>Se afecten intereses de menores o incapaces o se les pueda causar trastorno emocional o psíquico;</w:t>
      </w:r>
    </w:p>
    <w:p>
      <w:pPr>
        <w:pStyle w:val="BodyText"/>
        <w:spacing w:before="8"/>
        <w:rPr>
          <w:sz w:val="19"/>
        </w:rPr>
      </w:pPr>
    </w:p>
    <w:p>
      <w:pPr>
        <w:pStyle w:val="ListParagraph"/>
        <w:numPr>
          <w:ilvl w:val="0"/>
          <w:numId w:val="29"/>
        </w:numPr>
        <w:tabs>
          <w:tab w:pos="1139" w:val="left" w:leader="none"/>
        </w:tabs>
        <w:spacing w:line="240" w:lineRule="auto" w:before="0" w:after="0"/>
        <w:ind w:left="1138" w:right="0" w:hanging="301"/>
        <w:jc w:val="left"/>
        <w:rPr>
          <w:sz w:val="20"/>
        </w:rPr>
      </w:pPr>
      <w:r>
        <w:rPr>
          <w:sz w:val="20"/>
        </w:rPr>
        <w:t>Se impida el pago de</w:t>
      </w:r>
      <w:r>
        <w:rPr>
          <w:spacing w:val="-6"/>
          <w:sz w:val="20"/>
        </w:rPr>
        <w:t> </w:t>
      </w:r>
      <w:r>
        <w:rPr>
          <w:sz w:val="20"/>
        </w:rPr>
        <w:t>alimentos;</w:t>
      </w:r>
    </w:p>
    <w:p>
      <w:pPr>
        <w:pStyle w:val="BodyText"/>
        <w:spacing w:before="10"/>
        <w:rPr>
          <w:sz w:val="19"/>
        </w:rPr>
      </w:pPr>
    </w:p>
    <w:p>
      <w:pPr>
        <w:pStyle w:val="ListParagraph"/>
        <w:numPr>
          <w:ilvl w:val="0"/>
          <w:numId w:val="29"/>
        </w:numPr>
        <w:tabs>
          <w:tab w:pos="1098" w:val="left" w:leader="none"/>
        </w:tabs>
        <w:spacing w:line="240" w:lineRule="auto" w:before="0" w:after="0"/>
        <w:ind w:left="838" w:right="119" w:firstLine="0"/>
        <w:jc w:val="both"/>
        <w:rPr>
          <w:sz w:val="20"/>
        </w:rPr>
      </w:pPr>
      <w:r>
        <w:rPr>
          <w:sz w:val="20"/>
        </w:rPr>
        <w:t>Se permita el ingreso en el país de mercancías cuya introducción esté prohibida en términos de ley o bien se encuentre en alguno de lo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pPr>
        <w:pStyle w:val="BodyText"/>
        <w:spacing w:before="1"/>
      </w:pPr>
    </w:p>
    <w:p>
      <w:pPr>
        <w:pStyle w:val="ListParagraph"/>
        <w:numPr>
          <w:ilvl w:val="0"/>
          <w:numId w:val="29"/>
        </w:numPr>
        <w:tabs>
          <w:tab w:pos="1223" w:val="left" w:leader="none"/>
        </w:tabs>
        <w:spacing w:line="240" w:lineRule="auto" w:before="0" w:after="0"/>
        <w:ind w:left="838" w:right="114" w:firstLine="0"/>
        <w:jc w:val="both"/>
        <w:rPr>
          <w:sz w:val="20"/>
        </w:rPr>
      </w:pPr>
      <w:r>
        <w:rPr>
          <w:sz w:val="20"/>
        </w:rPr>
        <w:t>Se impidan o interrumpan los procedimientos relativos a la intervención, revocación, liquidación o quiebra de entidades financieras, y demás actos que sean impostergables, siempre en protección del público ahorrador para salvaguardar el sistema de pagos o su</w:t>
      </w:r>
      <w:r>
        <w:rPr>
          <w:spacing w:val="-17"/>
          <w:sz w:val="20"/>
        </w:rPr>
        <w:t> </w:t>
      </w:r>
      <w:r>
        <w:rPr>
          <w:sz w:val="20"/>
        </w:rPr>
        <w:t>estabilidad;</w:t>
      </w:r>
    </w:p>
    <w:p>
      <w:pPr>
        <w:pStyle w:val="BodyText"/>
        <w:spacing w:before="11"/>
        <w:rPr>
          <w:sz w:val="19"/>
        </w:rPr>
      </w:pPr>
    </w:p>
    <w:p>
      <w:pPr>
        <w:pStyle w:val="ListParagraph"/>
        <w:numPr>
          <w:ilvl w:val="0"/>
          <w:numId w:val="29"/>
        </w:numPr>
        <w:tabs>
          <w:tab w:pos="1216" w:val="left" w:leader="none"/>
        </w:tabs>
        <w:spacing w:line="242" w:lineRule="auto" w:before="0" w:after="0"/>
        <w:ind w:left="838" w:right="117" w:firstLine="0"/>
        <w:jc w:val="both"/>
        <w:rPr>
          <w:sz w:val="20"/>
        </w:rPr>
      </w:pPr>
      <w:r>
        <w:rPr>
          <w:sz w:val="20"/>
        </w:rPr>
        <w:t>Se impida la continuación del procedimiento de extinción de dominio previsto en el párrafo segundo del artículo 22 de la Constitución Política de los Estados Unidos Mexicanos. En caso de que el quejoso sea un tercero ajeno al procedimiento, procederá la</w:t>
      </w:r>
      <w:r>
        <w:rPr>
          <w:spacing w:val="-9"/>
          <w:sz w:val="20"/>
        </w:rPr>
        <w:t> </w:t>
      </w:r>
      <w:r>
        <w:rPr>
          <w:sz w:val="20"/>
        </w:rPr>
        <w:t>suspensión;</w:t>
      </w:r>
    </w:p>
    <w:p>
      <w:pPr>
        <w:pStyle w:val="BodyText"/>
        <w:spacing w:before="4"/>
        <w:rPr>
          <w:sz w:val="19"/>
        </w:rPr>
      </w:pPr>
    </w:p>
    <w:p>
      <w:pPr>
        <w:pStyle w:val="ListParagraph"/>
        <w:numPr>
          <w:ilvl w:val="0"/>
          <w:numId w:val="29"/>
        </w:numPr>
        <w:tabs>
          <w:tab w:pos="1250" w:val="left" w:leader="none"/>
        </w:tabs>
        <w:spacing w:line="242" w:lineRule="auto" w:before="0" w:after="0"/>
        <w:ind w:left="838" w:right="121" w:firstLine="0"/>
        <w:jc w:val="both"/>
        <w:rPr>
          <w:sz w:val="20"/>
        </w:rPr>
      </w:pPr>
      <w:r>
        <w:rPr>
          <w:sz w:val="20"/>
        </w:rPr>
        <w:t>Se impida u obstaculice al Estado la utilización, aprovechamiento o explotación de los bienes de dominio directo referidos en el artículo 27 de la Constitución Política de los Estados Unidos Mexicanos.</w:t>
      </w:r>
    </w:p>
    <w:p>
      <w:pPr>
        <w:pStyle w:val="BodyText"/>
        <w:spacing w:before="8"/>
        <w:rPr>
          <w:sz w:val="19"/>
        </w:rPr>
      </w:pPr>
    </w:p>
    <w:p>
      <w:pPr>
        <w:pStyle w:val="BodyText"/>
        <w:spacing w:before="1"/>
        <w:ind w:left="118" w:right="114" w:firstLine="288"/>
        <w:jc w:val="both"/>
      </w:pPr>
      <w:r>
        <w:rPr/>
        <w:t>El órgano jurisdiccional de amparo excepcionalmente podrá conceder la suspensión, aún cuando se trate de los casos previstos en este artículo, si a su juicio con la negativa de la medida suspensional pueda causarse mayor afectación al interés social.</w:t>
      </w:r>
    </w:p>
    <w:p>
      <w:pPr>
        <w:pStyle w:val="BodyText"/>
        <w:spacing w:before="8"/>
        <w:rPr>
          <w:sz w:val="19"/>
        </w:rPr>
      </w:pPr>
    </w:p>
    <w:p>
      <w:pPr>
        <w:pStyle w:val="BodyText"/>
        <w:spacing w:line="242" w:lineRule="auto" w:before="1"/>
        <w:ind w:left="118" w:right="127" w:firstLine="288"/>
        <w:jc w:val="both"/>
      </w:pPr>
      <w:bookmarkStart w:name="Artículo_130" w:id="130"/>
      <w:bookmarkEnd w:id="130"/>
      <w:r>
        <w:rPr/>
      </w:r>
      <w:r>
        <w:rPr>
          <w:b/>
        </w:rPr>
        <w:t>Artículo 130. </w:t>
      </w:r>
      <w:r>
        <w:rPr/>
        <w:t>La suspensión se podrá pedir en cualquier tiempo mientras no se dicte sentencia ejecutoria.</w:t>
      </w:r>
    </w:p>
    <w:p>
      <w:pPr>
        <w:pStyle w:val="BodyText"/>
        <w:spacing w:before="8"/>
        <w:rPr>
          <w:sz w:val="19"/>
        </w:rPr>
      </w:pPr>
    </w:p>
    <w:p>
      <w:pPr>
        <w:pStyle w:val="BodyText"/>
        <w:ind w:left="118" w:right="122" w:firstLine="288"/>
        <w:jc w:val="both"/>
      </w:pPr>
      <w:bookmarkStart w:name="Artículo_131" w:id="131"/>
      <w:bookmarkEnd w:id="131"/>
      <w:r>
        <w:rPr/>
      </w:r>
      <w:r>
        <w:rPr>
          <w:b/>
        </w:rPr>
        <w:t>Artículo 131. </w:t>
      </w:r>
      <w:r>
        <w:rPr/>
        <w:t>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6" w:firstLine="288"/>
        <w:jc w:val="both"/>
      </w:pPr>
      <w:r>
        <w:rPr/>
        <w:t>En ningún caso, el otorgamiento de la medida cautelar podrá tener por efecto modificar o restringir derechos ni constituir aquéllos que no haya tenido el quejoso antes de la presentación de la demanda.</w:t>
      </w:r>
    </w:p>
    <w:p>
      <w:pPr>
        <w:pStyle w:val="BodyText"/>
        <w:spacing w:before="11"/>
        <w:rPr>
          <w:sz w:val="19"/>
        </w:rPr>
      </w:pPr>
    </w:p>
    <w:p>
      <w:pPr>
        <w:pStyle w:val="BodyText"/>
        <w:ind w:left="118" w:right="115" w:firstLine="288"/>
        <w:jc w:val="both"/>
      </w:pPr>
      <w:bookmarkStart w:name="Artículo_132" w:id="132"/>
      <w:bookmarkEnd w:id="132"/>
      <w:r>
        <w:rPr/>
      </w:r>
      <w:r>
        <w:rPr>
          <w:b/>
        </w:rPr>
        <w:t>Artículo 132. </w:t>
      </w:r>
      <w:r>
        <w:rPr/>
        <w:t>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pPr>
        <w:pStyle w:val="BodyText"/>
        <w:spacing w:before="2"/>
      </w:pPr>
    </w:p>
    <w:p>
      <w:pPr>
        <w:pStyle w:val="BodyText"/>
        <w:ind w:left="118" w:right="126" w:firstLine="288"/>
        <w:jc w:val="both"/>
      </w:pPr>
      <w:r>
        <w:rPr/>
        <w:t>Cuando con la suspensión puedan afectarse derechos del tercero interesado que no sean estimables en dinero, el órgano jurisdiccional fijará discrecionalmente el importe de la garantía.</w:t>
      </w:r>
    </w:p>
    <w:p>
      <w:pPr>
        <w:pStyle w:val="BodyText"/>
        <w:spacing w:before="10"/>
        <w:rPr>
          <w:sz w:val="19"/>
        </w:rPr>
      </w:pPr>
    </w:p>
    <w:p>
      <w:pPr>
        <w:pStyle w:val="BodyText"/>
        <w:ind w:left="118" w:right="123" w:firstLine="288"/>
        <w:jc w:val="both"/>
      </w:pPr>
      <w:r>
        <w:rPr/>
        <w:t>La suspensión concedida a los núcleos de población no requerirá de garantía para que surta sus efectos.</w:t>
      </w:r>
    </w:p>
    <w:p>
      <w:pPr>
        <w:pStyle w:val="BodyText"/>
      </w:pPr>
    </w:p>
    <w:p>
      <w:pPr>
        <w:pStyle w:val="BodyText"/>
        <w:ind w:left="118" w:right="118" w:firstLine="288"/>
        <w:jc w:val="both"/>
      </w:pPr>
      <w:bookmarkStart w:name="Artículo_133" w:id="133"/>
      <w:bookmarkEnd w:id="133"/>
      <w:r>
        <w:rPr/>
      </w:r>
      <w:r>
        <w:rPr>
          <w:b/>
        </w:rPr>
        <w:t>Artículo 133. </w:t>
      </w:r>
      <w:r>
        <w:rPr/>
        <w:t>La suspensión, en su caso, quedará sin efecto si el tercero otorga contragarantía para restituir las cosas al estado que guardaban antes de la violación reclamada y pagar los daños y perjuicios que sobrevengan al quejoso, en el caso de que se le conceda el amparo.</w:t>
      </w:r>
    </w:p>
    <w:p>
      <w:pPr>
        <w:pStyle w:val="BodyText"/>
        <w:spacing w:before="1"/>
      </w:pPr>
    </w:p>
    <w:p>
      <w:pPr>
        <w:pStyle w:val="BodyText"/>
        <w:ind w:left="118" w:right="120" w:firstLine="288"/>
        <w:jc w:val="both"/>
      </w:pPr>
      <w:r>
        <w:rPr/>
        <w:t>No se admitirá la contragarantía cuando de ejecutarse el acto reclamado quede sin materia el juicio de amparo o cuando resulte en extremo difícil restituir las cosas al estado que guardaban antes de la violación.</w:t>
      </w:r>
    </w:p>
    <w:p>
      <w:pPr>
        <w:pStyle w:val="BodyText"/>
        <w:spacing w:before="11"/>
        <w:rPr>
          <w:sz w:val="19"/>
        </w:rPr>
      </w:pPr>
    </w:p>
    <w:p>
      <w:pPr>
        <w:pStyle w:val="BodyText"/>
        <w:ind w:left="118" w:right="126" w:firstLine="288"/>
        <w:jc w:val="both"/>
      </w:pPr>
      <w:r>
        <w:rPr/>
        <w:t>Cuando puedan afectarse derechos que no sean estimables en dinero, el órgano jurisdiccional fijará discrecionalmente el importe de la contragarantía.</w:t>
      </w:r>
    </w:p>
    <w:p>
      <w:pPr>
        <w:pStyle w:val="BodyText"/>
        <w:spacing w:before="10"/>
        <w:rPr>
          <w:sz w:val="19"/>
        </w:rPr>
      </w:pPr>
    </w:p>
    <w:p>
      <w:pPr>
        <w:pStyle w:val="BodyText"/>
        <w:spacing w:line="242" w:lineRule="auto" w:before="1"/>
        <w:ind w:left="118" w:right="120" w:firstLine="288"/>
        <w:jc w:val="both"/>
      </w:pPr>
      <w:bookmarkStart w:name="Artículo_134" w:id="134"/>
      <w:bookmarkEnd w:id="134"/>
      <w:r>
        <w:rPr/>
      </w:r>
      <w:r>
        <w:rPr>
          <w:b/>
        </w:rPr>
        <w:t>Artículo 134. </w:t>
      </w:r>
      <w:r>
        <w:rPr/>
        <w:t>La contragarantía que ofrezca el tercero conforme al artículo anterior deberá también cubrir el costo de la garantía que hubiese otorgado el quejoso, que comprenderá:</w:t>
      </w:r>
    </w:p>
    <w:p>
      <w:pPr>
        <w:pStyle w:val="BodyText"/>
        <w:spacing w:before="5"/>
        <w:rPr>
          <w:sz w:val="19"/>
        </w:rPr>
      </w:pPr>
    </w:p>
    <w:p>
      <w:pPr>
        <w:pStyle w:val="ListParagraph"/>
        <w:numPr>
          <w:ilvl w:val="0"/>
          <w:numId w:val="30"/>
        </w:numPr>
        <w:tabs>
          <w:tab w:pos="1012" w:val="left" w:leader="none"/>
        </w:tabs>
        <w:spacing w:line="242" w:lineRule="auto" w:before="1" w:after="0"/>
        <w:ind w:left="838" w:right="124" w:firstLine="0"/>
        <w:jc w:val="left"/>
        <w:rPr>
          <w:sz w:val="20"/>
        </w:rPr>
      </w:pPr>
      <w:r>
        <w:rPr>
          <w:sz w:val="20"/>
        </w:rPr>
        <w:t>Los gastos o primas pagados, conforme a la ley, a la empresa legalmente autorizada que haya otorgado la</w:t>
      </w:r>
      <w:r>
        <w:rPr>
          <w:spacing w:val="1"/>
          <w:sz w:val="20"/>
        </w:rPr>
        <w:t> </w:t>
      </w:r>
      <w:r>
        <w:rPr>
          <w:sz w:val="20"/>
        </w:rPr>
        <w:t>garantía;</w:t>
      </w:r>
    </w:p>
    <w:p>
      <w:pPr>
        <w:pStyle w:val="BodyText"/>
        <w:spacing w:before="8"/>
        <w:rPr>
          <w:sz w:val="19"/>
        </w:rPr>
      </w:pPr>
    </w:p>
    <w:p>
      <w:pPr>
        <w:pStyle w:val="ListParagraph"/>
        <w:numPr>
          <w:ilvl w:val="0"/>
          <w:numId w:val="30"/>
        </w:numPr>
        <w:tabs>
          <w:tab w:pos="1067" w:val="left" w:leader="none"/>
        </w:tabs>
        <w:spacing w:line="240" w:lineRule="auto" w:before="0" w:after="0"/>
        <w:ind w:left="838" w:right="126" w:firstLine="0"/>
        <w:jc w:val="left"/>
        <w:rPr>
          <w:sz w:val="20"/>
        </w:rPr>
      </w:pPr>
      <w:r>
        <w:rPr>
          <w:sz w:val="20"/>
        </w:rPr>
        <w:t>Los gastos legales de la escritura respectiva y su registro, así como los de la cancelación y su registro, cuando el quejoso hubiere otorgado garantía hipotecaria; y</w:t>
      </w:r>
    </w:p>
    <w:p>
      <w:pPr>
        <w:pStyle w:val="BodyText"/>
        <w:spacing w:before="10"/>
        <w:rPr>
          <w:sz w:val="19"/>
        </w:rPr>
      </w:pPr>
    </w:p>
    <w:p>
      <w:pPr>
        <w:pStyle w:val="ListParagraph"/>
        <w:numPr>
          <w:ilvl w:val="0"/>
          <w:numId w:val="30"/>
        </w:numPr>
        <w:tabs>
          <w:tab w:pos="1115" w:val="left" w:leader="none"/>
        </w:tabs>
        <w:spacing w:line="240" w:lineRule="auto" w:before="0" w:after="0"/>
        <w:ind w:left="1114" w:right="0" w:hanging="277"/>
        <w:jc w:val="left"/>
        <w:rPr>
          <w:sz w:val="20"/>
        </w:rPr>
      </w:pPr>
      <w:r>
        <w:rPr>
          <w:sz w:val="20"/>
        </w:rPr>
        <w:t>Los gastos legales acreditados para constituir el</w:t>
      </w:r>
      <w:r>
        <w:rPr>
          <w:spacing w:val="2"/>
          <w:sz w:val="20"/>
        </w:rPr>
        <w:t> </w:t>
      </w:r>
      <w:r>
        <w:rPr>
          <w:sz w:val="20"/>
        </w:rPr>
        <w:t>depósito.</w:t>
      </w:r>
    </w:p>
    <w:p>
      <w:pPr>
        <w:pStyle w:val="BodyText"/>
        <w:spacing w:before="1"/>
      </w:pPr>
    </w:p>
    <w:p>
      <w:pPr>
        <w:pStyle w:val="BodyText"/>
        <w:ind w:left="118" w:right="118" w:firstLine="288"/>
        <w:jc w:val="both"/>
      </w:pPr>
      <w:bookmarkStart w:name="Artículo_135" w:id="135"/>
      <w:bookmarkEnd w:id="135"/>
      <w:r>
        <w:rPr/>
      </w:r>
      <w:r>
        <w:rPr>
          <w:b/>
        </w:rPr>
        <w:t>Artículo 135. </w:t>
      </w:r>
      <w:r>
        <w:rPr/>
        <w:t>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pPr>
        <w:pStyle w:val="BodyText"/>
        <w:spacing w:before="2"/>
      </w:pPr>
    </w:p>
    <w:p>
      <w:pPr>
        <w:pStyle w:val="BodyText"/>
        <w:spacing w:before="1"/>
        <w:ind w:left="118" w:right="127" w:firstLine="288"/>
        <w:jc w:val="both"/>
      </w:pPr>
      <w:r>
        <w:rPr/>
        <w:t>El órgano jurisdiccional está facultado para reducir el monto de la garantía o dispensar su otorgamiento, en los siguientes casos:</w:t>
      </w:r>
    </w:p>
    <w:p>
      <w:pPr>
        <w:pStyle w:val="BodyText"/>
        <w:spacing w:before="8"/>
        <w:rPr>
          <w:sz w:val="19"/>
        </w:rPr>
      </w:pPr>
    </w:p>
    <w:p>
      <w:pPr>
        <w:pStyle w:val="ListParagraph"/>
        <w:numPr>
          <w:ilvl w:val="0"/>
          <w:numId w:val="31"/>
        </w:numPr>
        <w:tabs>
          <w:tab w:pos="1017" w:val="left" w:leader="none"/>
        </w:tabs>
        <w:spacing w:line="242" w:lineRule="auto" w:before="0" w:after="0"/>
        <w:ind w:left="838" w:right="125" w:firstLine="0"/>
        <w:jc w:val="left"/>
        <w:rPr>
          <w:sz w:val="20"/>
        </w:rPr>
      </w:pPr>
      <w:r>
        <w:rPr>
          <w:sz w:val="20"/>
        </w:rPr>
        <w:t>Si realizado el embargo por las autoridades fiscales, éste haya quedado firme y los bienes del contribuyente embargados fueran suficientes para asegurar la garantía del interés</w:t>
      </w:r>
      <w:r>
        <w:rPr>
          <w:spacing w:val="-12"/>
          <w:sz w:val="20"/>
        </w:rPr>
        <w:t> </w:t>
      </w:r>
      <w:r>
        <w:rPr>
          <w:sz w:val="20"/>
        </w:rPr>
        <w:t>fiscal;</w:t>
      </w:r>
    </w:p>
    <w:p>
      <w:pPr>
        <w:pStyle w:val="BodyText"/>
        <w:spacing w:before="8"/>
        <w:rPr>
          <w:sz w:val="19"/>
        </w:rPr>
      </w:pPr>
    </w:p>
    <w:p>
      <w:pPr>
        <w:pStyle w:val="ListParagraph"/>
        <w:numPr>
          <w:ilvl w:val="0"/>
          <w:numId w:val="31"/>
        </w:numPr>
        <w:tabs>
          <w:tab w:pos="1060" w:val="left" w:leader="none"/>
        </w:tabs>
        <w:spacing w:line="240" w:lineRule="auto" w:before="0" w:after="0"/>
        <w:ind w:left="1059" w:right="0" w:hanging="222"/>
        <w:jc w:val="left"/>
        <w:rPr>
          <w:sz w:val="20"/>
        </w:rPr>
      </w:pPr>
      <w:r>
        <w:rPr>
          <w:sz w:val="20"/>
        </w:rPr>
        <w:t>Si el monto de los créditos excediere la capacidad económica del quejoso;</w:t>
      </w:r>
      <w:r>
        <w:rPr>
          <w:spacing w:val="-9"/>
          <w:sz w:val="20"/>
        </w:rPr>
        <w:t> </w:t>
      </w:r>
      <w:r>
        <w:rPr>
          <w:sz w:val="20"/>
        </w:rPr>
        <w:t>y</w:t>
      </w:r>
    </w:p>
    <w:p>
      <w:pPr>
        <w:pStyle w:val="BodyText"/>
        <w:spacing w:before="10"/>
        <w:rPr>
          <w:sz w:val="19"/>
        </w:rPr>
      </w:pPr>
    </w:p>
    <w:p>
      <w:pPr>
        <w:pStyle w:val="ListParagraph"/>
        <w:numPr>
          <w:ilvl w:val="0"/>
          <w:numId w:val="31"/>
        </w:numPr>
        <w:tabs>
          <w:tab w:pos="1137" w:val="left" w:leader="none"/>
        </w:tabs>
        <w:spacing w:line="242" w:lineRule="auto" w:before="0" w:after="0"/>
        <w:ind w:left="838" w:right="125" w:firstLine="0"/>
        <w:jc w:val="left"/>
        <w:rPr>
          <w:sz w:val="20"/>
        </w:rPr>
      </w:pPr>
      <w:r>
        <w:rPr>
          <w:sz w:val="20"/>
        </w:rPr>
        <w:t>Si se tratase de tercero distinto al sujeto obligado de manera directa o solidaria al pago del crédito.</w:t>
      </w:r>
    </w:p>
    <w:p>
      <w:pPr>
        <w:spacing w:after="0" w:line="242" w:lineRule="auto"/>
        <w:jc w:val="left"/>
        <w:rPr>
          <w:sz w:val="20"/>
        </w:rPr>
        <w:sectPr>
          <w:pgSz w:w="12240" w:h="15840"/>
          <w:pgMar w:header="708" w:footer="712" w:top="1760" w:bottom="900" w:left="1300" w:right="1300"/>
        </w:sectPr>
      </w:pPr>
    </w:p>
    <w:p>
      <w:pPr>
        <w:pStyle w:val="BodyText"/>
        <w:spacing w:before="8"/>
        <w:rPr>
          <w:sz w:val="27"/>
        </w:rPr>
      </w:pPr>
    </w:p>
    <w:p>
      <w:pPr>
        <w:pStyle w:val="BodyText"/>
        <w:spacing w:before="92"/>
        <w:ind w:left="118" w:right="127" w:firstLine="288"/>
        <w:jc w:val="both"/>
      </w:pPr>
      <w:r>
        <w:rPr/>
        <w:t>En los casos en que se niegue el amparo, cuando exista sobreseimiento del mismo o bien cuando por alguna circunstancia se deje sin efectos la suspensión en el amparo, la autoridad responsable hará efectiva la garantía.</w:t>
      </w:r>
    </w:p>
    <w:p>
      <w:pPr>
        <w:pStyle w:val="BodyText"/>
        <w:spacing w:before="9"/>
        <w:rPr>
          <w:sz w:val="19"/>
        </w:rPr>
      </w:pPr>
    </w:p>
    <w:p>
      <w:pPr>
        <w:pStyle w:val="BodyText"/>
        <w:spacing w:line="242" w:lineRule="auto"/>
        <w:ind w:left="118" w:right="125" w:firstLine="288"/>
        <w:jc w:val="both"/>
      </w:pPr>
      <w:bookmarkStart w:name="Artículo_136" w:id="136"/>
      <w:bookmarkEnd w:id="136"/>
      <w:r>
        <w:rPr/>
      </w:r>
      <w:r>
        <w:rPr>
          <w:b/>
        </w:rPr>
        <w:t>Artículo 136. </w:t>
      </w:r>
      <w:r>
        <w:rPr/>
        <w:t>La suspensión, cualquiera que sea su naturaleza, surtirá sus efectos desde el momento en que se pronuncie el acuerdo relativo, aún cuando sea recurrido.</w:t>
      </w:r>
    </w:p>
    <w:p>
      <w:pPr>
        <w:pStyle w:val="BodyText"/>
        <w:spacing w:before="10"/>
        <w:rPr>
          <w:sz w:val="19"/>
        </w:rPr>
      </w:pPr>
    </w:p>
    <w:p>
      <w:pPr>
        <w:pStyle w:val="BodyText"/>
        <w:ind w:left="118" w:right="120" w:firstLine="288"/>
        <w:jc w:val="both"/>
      </w:pPr>
      <w:r>
        <w:rPr/>
        <w:t>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suspensional.</w:t>
      </w:r>
    </w:p>
    <w:p>
      <w:pPr>
        <w:pStyle w:val="BodyText"/>
        <w:spacing w:before="10"/>
        <w:rPr>
          <w:sz w:val="19"/>
        </w:rPr>
      </w:pPr>
    </w:p>
    <w:p>
      <w:pPr>
        <w:pStyle w:val="BodyText"/>
        <w:spacing w:before="1"/>
        <w:ind w:left="118" w:right="126" w:firstLine="288"/>
        <w:jc w:val="both"/>
      </w:pPr>
      <w:bookmarkStart w:name="Artículo_137" w:id="137"/>
      <w:bookmarkEnd w:id="137"/>
      <w:r>
        <w:rPr/>
      </w:r>
      <w:r>
        <w:rPr>
          <w:b/>
        </w:rPr>
        <w:t>Artículo 137. </w:t>
      </w:r>
      <w:r>
        <w:rPr/>
        <w:t>La Federación, los Estados, el Distrito Federal y los municipios estarán exentos de otorgar las garantías que esta Ley exige.</w:t>
      </w:r>
    </w:p>
    <w:p>
      <w:pPr>
        <w:pStyle w:val="BodyText"/>
        <w:spacing w:before="10"/>
        <w:rPr>
          <w:sz w:val="19"/>
        </w:rPr>
      </w:pPr>
    </w:p>
    <w:p>
      <w:pPr>
        <w:pStyle w:val="BodyText"/>
        <w:spacing w:line="242" w:lineRule="auto"/>
        <w:ind w:left="118" w:right="125" w:firstLine="288"/>
        <w:jc w:val="both"/>
      </w:pPr>
      <w:bookmarkStart w:name="Artículo_138" w:id="138"/>
      <w:bookmarkEnd w:id="138"/>
      <w:r>
        <w:rPr/>
      </w:r>
      <w:r>
        <w:rPr>
          <w:b/>
        </w:rPr>
        <w:t>Artículo 138. </w:t>
      </w:r>
      <w:r>
        <w:rPr/>
        <w:t>Promovida la suspensión del acto reclamado el órgano jurisdiccional deberá realizar un análisis ponderado de la apariencia del buen derecho, la no afectación del interés social y la no contravención de disposiciones de orden público, en su caso, acordará lo siguiente: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0"/>
        <w:rPr>
          <w:rFonts w:ascii="Times New Roman"/>
          <w:i/>
          <w:sz w:val="19"/>
        </w:rPr>
      </w:pPr>
    </w:p>
    <w:p>
      <w:pPr>
        <w:pStyle w:val="ListParagraph"/>
        <w:numPr>
          <w:ilvl w:val="0"/>
          <w:numId w:val="32"/>
        </w:numPr>
        <w:tabs>
          <w:tab w:pos="1014" w:val="left" w:leader="none"/>
        </w:tabs>
        <w:spacing w:line="242" w:lineRule="auto" w:before="0" w:after="0"/>
        <w:ind w:left="838" w:right="125" w:firstLine="0"/>
        <w:jc w:val="both"/>
        <w:rPr>
          <w:sz w:val="20"/>
        </w:rPr>
      </w:pPr>
      <w:r>
        <w:rPr>
          <w:sz w:val="20"/>
        </w:rPr>
        <w:t>Concederá o negará la suspensión provisional; en el primer caso, fijará los requisitos y efectos de la medida; en el segundo caso, la autoridad responsable podrá ejecutar el acto</w:t>
      </w:r>
      <w:r>
        <w:rPr>
          <w:spacing w:val="-20"/>
          <w:sz w:val="20"/>
        </w:rPr>
        <w:t> </w:t>
      </w:r>
      <w:r>
        <w:rPr>
          <w:sz w:val="20"/>
        </w:rPr>
        <w:t>reclamado;</w:t>
      </w:r>
    </w:p>
    <w:p>
      <w:pPr>
        <w:pStyle w:val="BodyText"/>
        <w:spacing w:before="8"/>
        <w:rPr>
          <w:sz w:val="19"/>
        </w:rPr>
      </w:pPr>
    </w:p>
    <w:p>
      <w:pPr>
        <w:pStyle w:val="ListParagraph"/>
        <w:numPr>
          <w:ilvl w:val="0"/>
          <w:numId w:val="32"/>
        </w:numPr>
        <w:tabs>
          <w:tab w:pos="1089" w:val="left" w:leader="none"/>
        </w:tabs>
        <w:spacing w:line="240" w:lineRule="auto" w:before="1" w:after="0"/>
        <w:ind w:left="838" w:right="121" w:firstLine="0"/>
        <w:jc w:val="both"/>
        <w:rPr>
          <w:sz w:val="20"/>
        </w:rPr>
      </w:pPr>
      <w:r>
        <w:rPr>
          <w:sz w:val="20"/>
        </w:rPr>
        <w:t>Señalará fecha y hora para la celebración de la audiencia incidental que deberá efectuarse dentro del plazo de cinco días;</w:t>
      </w:r>
      <w:r>
        <w:rPr>
          <w:spacing w:val="-2"/>
          <w:sz w:val="20"/>
        </w:rPr>
        <w:t> </w:t>
      </w:r>
      <w:r>
        <w:rPr>
          <w:sz w:val="20"/>
        </w:rPr>
        <w:t>y</w:t>
      </w:r>
    </w:p>
    <w:p>
      <w:pPr>
        <w:pStyle w:val="BodyText"/>
        <w:spacing w:before="10"/>
        <w:rPr>
          <w:sz w:val="19"/>
        </w:rPr>
      </w:pPr>
    </w:p>
    <w:p>
      <w:pPr>
        <w:pStyle w:val="ListParagraph"/>
        <w:numPr>
          <w:ilvl w:val="0"/>
          <w:numId w:val="32"/>
        </w:numPr>
        <w:tabs>
          <w:tab w:pos="1115" w:val="left" w:leader="none"/>
        </w:tabs>
        <w:spacing w:line="242" w:lineRule="auto" w:before="0" w:after="0"/>
        <w:ind w:left="838" w:right="121" w:firstLine="0"/>
        <w:jc w:val="both"/>
        <w:rPr>
          <w:sz w:val="20"/>
        </w:rPr>
      </w:pPr>
      <w:r>
        <w:rPr>
          <w:sz w:val="20"/>
        </w:rPr>
        <w:t>Solicitará informe previo a las autoridades responsables, que deberán rendirlo dentro del</w:t>
      </w:r>
      <w:r>
        <w:rPr>
          <w:spacing w:val="-27"/>
          <w:sz w:val="20"/>
        </w:rPr>
        <w:t> </w:t>
      </w:r>
      <w:r>
        <w:rPr>
          <w:sz w:val="20"/>
        </w:rPr>
        <w:t>plazo de cuarenta y ocho horas, para lo cual en la notificación correspondiente se les acompañará copia de la demanda y anexos que estime</w:t>
      </w:r>
      <w:r>
        <w:rPr>
          <w:spacing w:val="-2"/>
          <w:sz w:val="20"/>
        </w:rPr>
        <w:t> </w:t>
      </w:r>
      <w:r>
        <w:rPr>
          <w:sz w:val="20"/>
        </w:rPr>
        <w:t>pertinentes.</w:t>
      </w:r>
    </w:p>
    <w:p>
      <w:pPr>
        <w:pStyle w:val="BodyText"/>
        <w:spacing w:before="4"/>
        <w:rPr>
          <w:sz w:val="19"/>
        </w:rPr>
      </w:pPr>
    </w:p>
    <w:p>
      <w:pPr>
        <w:pStyle w:val="BodyText"/>
        <w:ind w:left="118" w:right="111" w:firstLine="288"/>
        <w:jc w:val="both"/>
      </w:pPr>
      <w:bookmarkStart w:name="Artículo_139" w:id="139"/>
      <w:bookmarkEnd w:id="139"/>
      <w:r>
        <w:rPr/>
      </w:r>
      <w:r>
        <w:rPr>
          <w:b/>
        </w:rPr>
        <w:t>Artículo 139. </w:t>
      </w:r>
      <w:r>
        <w:rPr/>
        <w:t>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pPr>
        <w:pStyle w:val="BodyText"/>
        <w:spacing w:before="3"/>
      </w:pPr>
    </w:p>
    <w:p>
      <w:pPr>
        <w:pStyle w:val="BodyText"/>
        <w:spacing w:before="1"/>
        <w:ind w:left="118" w:right="125" w:firstLine="288"/>
        <w:jc w:val="both"/>
      </w:pPr>
      <w:r>
        <w:rP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pPr>
        <w:pStyle w:val="BodyText"/>
        <w:spacing w:before="8"/>
        <w:rPr>
          <w:sz w:val="19"/>
        </w:rPr>
      </w:pPr>
    </w:p>
    <w:p>
      <w:pPr>
        <w:pStyle w:val="BodyText"/>
        <w:spacing w:before="1"/>
        <w:ind w:left="118" w:right="125" w:firstLine="288"/>
        <w:jc w:val="both"/>
      </w:pPr>
      <w:bookmarkStart w:name="Artículo_140" w:id="140"/>
      <w:bookmarkEnd w:id="140"/>
      <w:r>
        <w:rPr/>
      </w:r>
      <w:r>
        <w:rPr>
          <w:b/>
        </w:rPr>
        <w:t>Artículo 140. </w:t>
      </w:r>
      <w:r>
        <w:rPr/>
        <w:t>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pPr>
        <w:pStyle w:val="BodyText"/>
        <w:spacing w:before="2"/>
      </w:pPr>
    </w:p>
    <w:p>
      <w:pPr>
        <w:pStyle w:val="BodyText"/>
        <w:ind w:left="118" w:right="124" w:firstLine="288"/>
        <w:jc w:val="both"/>
      </w:pPr>
      <w:r>
        <w:rPr/>
        <w:t>En casos urgentes se podrá ordenar que se rinda el informe previo por cualquier medio a disposición de las oficinas públicas de comunicaciones.</w:t>
      </w:r>
    </w:p>
    <w:p>
      <w:pPr>
        <w:spacing w:after="0"/>
        <w:jc w:val="both"/>
        <w:sectPr>
          <w:pgSz w:w="12240" w:h="15840"/>
          <w:pgMar w:header="708" w:footer="712" w:top="1760" w:bottom="900" w:left="1300" w:right="1300"/>
        </w:sectPr>
      </w:pPr>
    </w:p>
    <w:p>
      <w:pPr>
        <w:pStyle w:val="BodyText"/>
        <w:spacing w:before="5"/>
        <w:rPr>
          <w:sz w:val="27"/>
        </w:rPr>
      </w:pPr>
    </w:p>
    <w:p>
      <w:pPr>
        <w:pStyle w:val="BodyText"/>
        <w:spacing w:before="93"/>
        <w:ind w:left="118" w:right="119" w:firstLine="288"/>
        <w:jc w:val="both"/>
      </w:pPr>
      <w:bookmarkStart w:name="Artículo_141" w:id="141"/>
      <w:bookmarkEnd w:id="141"/>
      <w:r>
        <w:rPr/>
      </w:r>
      <w:r>
        <w:rPr>
          <w:b/>
        </w:rPr>
        <w:t>Artículo 141. </w:t>
      </w:r>
      <w:r>
        <w:rPr/>
        <w:t>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pPr>
        <w:pStyle w:val="BodyText"/>
      </w:pPr>
    </w:p>
    <w:p>
      <w:pPr>
        <w:pStyle w:val="BodyText"/>
        <w:spacing w:line="242" w:lineRule="auto" w:before="1"/>
        <w:ind w:left="118" w:right="116" w:firstLine="288"/>
        <w:jc w:val="both"/>
      </w:pPr>
      <w:bookmarkStart w:name="Artículo_142" w:id="142"/>
      <w:bookmarkEnd w:id="142"/>
      <w:r>
        <w:rPr/>
      </w:r>
      <w:r>
        <w:rPr>
          <w:b/>
        </w:rPr>
        <w:t>Artículo 142. </w:t>
      </w:r>
      <w:r>
        <w:rPr/>
        <w:t>La falta de informe previo hará presumir cierto el acto reclamado para el sólo efecto de resolver sobre la suspensión definitiva.</w:t>
      </w:r>
    </w:p>
    <w:p>
      <w:pPr>
        <w:pStyle w:val="BodyText"/>
        <w:spacing w:before="8"/>
        <w:rPr>
          <w:sz w:val="19"/>
        </w:rPr>
      </w:pPr>
    </w:p>
    <w:p>
      <w:pPr>
        <w:pStyle w:val="BodyText"/>
        <w:ind w:left="118" w:right="117" w:firstLine="288"/>
        <w:jc w:val="both"/>
      </w:pPr>
      <w:r>
        <w:rPr/>
        <w:t>Tratándose de amparo contra normas generales, las autoridades que hayan intervenido en el refrendo del decreto promulgatorio de la norma general o en su publicación, únicamente rendirán el informe previo cuando adviertan que su intervención en el proceso legislativo o de creación de la norma general, se impugne por vicios propios.</w:t>
      </w:r>
    </w:p>
    <w:p>
      <w:pPr>
        <w:pStyle w:val="BodyText"/>
      </w:pPr>
    </w:p>
    <w:p>
      <w:pPr>
        <w:pStyle w:val="BodyText"/>
        <w:ind w:left="118" w:right="124" w:firstLine="288"/>
        <w:jc w:val="both"/>
      </w:pPr>
      <w:r>
        <w:rPr/>
        <w:t>La falta del informe previo de las autoridades legislativas, además de lo señalado en el párrafo anterior, no dará lugar a sanción alguna.</w:t>
      </w:r>
    </w:p>
    <w:p>
      <w:pPr>
        <w:pStyle w:val="BodyText"/>
        <w:spacing w:before="10"/>
        <w:rPr>
          <w:sz w:val="19"/>
        </w:rPr>
      </w:pPr>
    </w:p>
    <w:p>
      <w:pPr>
        <w:pStyle w:val="BodyText"/>
        <w:spacing w:line="242" w:lineRule="auto"/>
        <w:ind w:left="118" w:right="126" w:firstLine="288"/>
        <w:jc w:val="both"/>
      </w:pPr>
      <w:bookmarkStart w:name="Artículo_143" w:id="143"/>
      <w:bookmarkEnd w:id="143"/>
      <w:r>
        <w:rPr/>
      </w:r>
      <w:r>
        <w:rPr>
          <w:b/>
        </w:rPr>
        <w:t>Artículo 143. </w:t>
      </w:r>
      <w:r>
        <w:rPr/>
        <w:t>El órgano jurisdiccional podrá solicitar documentos y ordenar las diligencias que considere necesarias, a efecto de resolver sobre la suspensión definitiva.</w:t>
      </w:r>
    </w:p>
    <w:p>
      <w:pPr>
        <w:pStyle w:val="BodyText"/>
        <w:spacing w:before="8"/>
        <w:rPr>
          <w:sz w:val="19"/>
        </w:rPr>
      </w:pPr>
    </w:p>
    <w:p>
      <w:pPr>
        <w:pStyle w:val="BodyText"/>
        <w:spacing w:before="1"/>
        <w:ind w:left="118" w:right="120" w:firstLine="288"/>
        <w:jc w:val="both"/>
      </w:pPr>
      <w:r>
        <w:rPr/>
        <w:t>En el incidente de suspensión, únicamente se admitirán las pruebas documental y de inspección judicial. Tratándose de los casos a que se refiere el artículo 15 de esta Ley, será admisible la prueba testimonial.</w:t>
      </w:r>
    </w:p>
    <w:p>
      <w:pPr>
        <w:pStyle w:val="BodyText"/>
        <w:spacing w:before="1"/>
      </w:pPr>
    </w:p>
    <w:p>
      <w:pPr>
        <w:pStyle w:val="BodyText"/>
        <w:ind w:left="118" w:right="114" w:firstLine="288"/>
        <w:jc w:val="both"/>
      </w:pPr>
      <w:r>
        <w:rPr/>
        <w:t>Para efectos de este artículo, no serán aplicables las disposiciones relativas al ofrecimiento y admisión de las pruebas en el cuaderno principal.</w:t>
      </w:r>
    </w:p>
    <w:p>
      <w:pPr>
        <w:pStyle w:val="BodyText"/>
        <w:spacing w:before="8"/>
        <w:rPr>
          <w:sz w:val="19"/>
        </w:rPr>
      </w:pPr>
    </w:p>
    <w:p>
      <w:pPr>
        <w:pStyle w:val="BodyText"/>
        <w:spacing w:before="1"/>
        <w:ind w:left="118" w:right="115" w:firstLine="288"/>
        <w:jc w:val="both"/>
      </w:pPr>
      <w:bookmarkStart w:name="Artículo_144" w:id="144"/>
      <w:bookmarkEnd w:id="144"/>
      <w:r>
        <w:rPr/>
      </w:r>
      <w:r>
        <w:rPr>
          <w:b/>
        </w:rPr>
        <w:t>Artículo 144. </w:t>
      </w:r>
      <w:r>
        <w:rPr/>
        <w:t>En la audiencia incidental, a la cual podrán comparecer las partes, se dará cuenta con 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estará</w:t>
      </w:r>
      <w:r>
        <w:rPr>
          <w:spacing w:val="-2"/>
        </w:rPr>
        <w:t> </w:t>
      </w:r>
      <w:r>
        <w:rPr/>
        <w:t>sujeta.</w:t>
      </w:r>
    </w:p>
    <w:p>
      <w:pPr>
        <w:pStyle w:val="BodyText"/>
        <w:spacing w:before="11"/>
        <w:rPr>
          <w:sz w:val="19"/>
        </w:rPr>
      </w:pPr>
    </w:p>
    <w:p>
      <w:pPr>
        <w:pStyle w:val="BodyText"/>
        <w:spacing w:line="242" w:lineRule="auto"/>
        <w:ind w:left="118" w:right="116" w:firstLine="288"/>
        <w:jc w:val="both"/>
      </w:pPr>
      <w:bookmarkStart w:name="Artículo_145" w:id="145"/>
      <w:bookmarkEnd w:id="145"/>
      <w:r>
        <w:rPr/>
      </w:r>
      <w:r>
        <w:rPr>
          <w:b/>
        </w:rPr>
        <w:t>Artículo 145. </w:t>
      </w:r>
      <w:r>
        <w:rPr/>
        <w:t>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w:t>
      </w:r>
      <w:r>
        <w:rPr>
          <w:spacing w:val="-4"/>
        </w:rPr>
        <w:t> </w:t>
      </w:r>
      <w:r>
        <w:rPr/>
        <w:t>suspensión.</w:t>
      </w:r>
    </w:p>
    <w:p>
      <w:pPr>
        <w:pStyle w:val="BodyText"/>
        <w:spacing w:before="2"/>
        <w:rPr>
          <w:sz w:val="19"/>
        </w:rPr>
      </w:pPr>
    </w:p>
    <w:p>
      <w:pPr>
        <w:pStyle w:val="BodyText"/>
        <w:ind w:left="406"/>
      </w:pPr>
      <w:bookmarkStart w:name="Artículo_146" w:id="146"/>
      <w:bookmarkEnd w:id="146"/>
      <w:r>
        <w:rPr/>
      </w:r>
      <w:r>
        <w:rPr>
          <w:b/>
        </w:rPr>
        <w:t>Artículo 146. </w:t>
      </w:r>
      <w:r>
        <w:rPr/>
        <w:t>La resolución que decida sobre la suspensión definitiva, deberá contener:</w:t>
      </w:r>
    </w:p>
    <w:p>
      <w:pPr>
        <w:pStyle w:val="BodyText"/>
        <w:spacing w:before="1"/>
      </w:pPr>
    </w:p>
    <w:p>
      <w:pPr>
        <w:pStyle w:val="ListParagraph"/>
        <w:numPr>
          <w:ilvl w:val="0"/>
          <w:numId w:val="33"/>
        </w:numPr>
        <w:tabs>
          <w:tab w:pos="1005" w:val="left" w:leader="none"/>
        </w:tabs>
        <w:spacing w:line="240" w:lineRule="auto" w:before="0" w:after="0"/>
        <w:ind w:left="1004" w:right="0" w:hanging="167"/>
        <w:jc w:val="left"/>
        <w:rPr>
          <w:sz w:val="20"/>
        </w:rPr>
      </w:pPr>
      <w:r>
        <w:rPr>
          <w:sz w:val="20"/>
        </w:rPr>
        <w:t>La fijación clara y precisa del acto</w:t>
      </w:r>
      <w:r>
        <w:rPr>
          <w:spacing w:val="-3"/>
          <w:sz w:val="20"/>
        </w:rPr>
        <w:t> </w:t>
      </w:r>
      <w:r>
        <w:rPr>
          <w:sz w:val="20"/>
        </w:rPr>
        <w:t>reclamado;</w:t>
      </w:r>
    </w:p>
    <w:p>
      <w:pPr>
        <w:pStyle w:val="BodyText"/>
        <w:spacing w:before="1"/>
      </w:pPr>
    </w:p>
    <w:p>
      <w:pPr>
        <w:pStyle w:val="ListParagraph"/>
        <w:numPr>
          <w:ilvl w:val="0"/>
          <w:numId w:val="33"/>
        </w:numPr>
        <w:tabs>
          <w:tab w:pos="1060" w:val="left" w:leader="none"/>
        </w:tabs>
        <w:spacing w:line="240" w:lineRule="auto" w:before="0" w:after="0"/>
        <w:ind w:left="1059" w:right="0" w:hanging="222"/>
        <w:jc w:val="left"/>
        <w:rPr>
          <w:sz w:val="20"/>
        </w:rPr>
      </w:pPr>
      <w:r>
        <w:rPr>
          <w:sz w:val="20"/>
        </w:rPr>
        <w:t>La valoración de las pruebas admitidas y</w:t>
      </w:r>
      <w:r>
        <w:rPr>
          <w:spacing w:val="1"/>
          <w:sz w:val="20"/>
        </w:rPr>
        <w:t> </w:t>
      </w:r>
      <w:r>
        <w:rPr>
          <w:sz w:val="20"/>
        </w:rPr>
        <w:t>desahogadas;</w:t>
      </w:r>
    </w:p>
    <w:p>
      <w:pPr>
        <w:pStyle w:val="BodyText"/>
        <w:spacing w:before="10"/>
        <w:rPr>
          <w:sz w:val="19"/>
        </w:rPr>
      </w:pPr>
    </w:p>
    <w:p>
      <w:pPr>
        <w:pStyle w:val="ListParagraph"/>
        <w:numPr>
          <w:ilvl w:val="0"/>
          <w:numId w:val="33"/>
        </w:numPr>
        <w:tabs>
          <w:tab w:pos="1166" w:val="left" w:leader="none"/>
        </w:tabs>
        <w:spacing w:line="242" w:lineRule="auto" w:before="0" w:after="0"/>
        <w:ind w:left="838" w:right="126" w:firstLine="0"/>
        <w:jc w:val="left"/>
        <w:rPr>
          <w:sz w:val="20"/>
        </w:rPr>
      </w:pPr>
      <w:r>
        <w:rPr>
          <w:sz w:val="20"/>
        </w:rPr>
        <w:t>Las consideraciones y fundamentos legales en que se apoye para conceder o negar la suspensión;</w:t>
      </w:r>
      <w:r>
        <w:rPr>
          <w:spacing w:val="2"/>
          <w:sz w:val="20"/>
        </w:rPr>
        <w:t> </w:t>
      </w:r>
      <w:r>
        <w:rPr>
          <w:sz w:val="20"/>
        </w:rPr>
        <w:t>y</w:t>
      </w:r>
    </w:p>
    <w:p>
      <w:pPr>
        <w:pStyle w:val="BodyText"/>
        <w:spacing w:before="8"/>
        <w:rPr>
          <w:sz w:val="19"/>
        </w:rPr>
      </w:pPr>
    </w:p>
    <w:p>
      <w:pPr>
        <w:pStyle w:val="ListParagraph"/>
        <w:numPr>
          <w:ilvl w:val="0"/>
          <w:numId w:val="33"/>
        </w:numPr>
        <w:tabs>
          <w:tab w:pos="1142" w:val="left" w:leader="none"/>
        </w:tabs>
        <w:spacing w:line="242" w:lineRule="auto" w:before="1" w:after="0"/>
        <w:ind w:left="838" w:right="126" w:firstLine="0"/>
        <w:jc w:val="left"/>
        <w:rPr>
          <w:sz w:val="20"/>
        </w:rPr>
      </w:pPr>
      <w:r>
        <w:rPr>
          <w:sz w:val="20"/>
        </w:rPr>
        <w:t>Los puntos resolutivos en los que se exprese el acto o actos por los que se conceda o niegue la suspensión. Si se concede, deberán precisarse los efectos para su estricto</w:t>
      </w:r>
      <w:r>
        <w:rPr>
          <w:spacing w:val="-16"/>
          <w:sz w:val="20"/>
        </w:rPr>
        <w:t> </w:t>
      </w:r>
      <w:r>
        <w:rPr>
          <w:sz w:val="20"/>
        </w:rPr>
        <w:t>cumplimiento.</w:t>
      </w:r>
    </w:p>
    <w:p>
      <w:pPr>
        <w:pStyle w:val="BodyText"/>
        <w:spacing w:before="5"/>
        <w:rPr>
          <w:sz w:val="19"/>
        </w:rPr>
      </w:pPr>
    </w:p>
    <w:p>
      <w:pPr>
        <w:pStyle w:val="BodyText"/>
        <w:spacing w:line="242" w:lineRule="auto"/>
        <w:ind w:left="118" w:right="122" w:firstLine="288"/>
        <w:jc w:val="both"/>
      </w:pPr>
      <w:bookmarkStart w:name="Artículo_147" w:id="147"/>
      <w:bookmarkEnd w:id="147"/>
      <w:r>
        <w:rPr/>
      </w:r>
      <w:r>
        <w:rPr>
          <w:b/>
        </w:rPr>
        <w:t>Artículo 147. </w:t>
      </w:r>
      <w:r>
        <w:rPr/>
        <w:t>En los casos en que la suspensión sea procedente, el órgano jurisdiccional deberá fijar la situación en que habrán de quedar las cosas y tomará las medidas pertinentes para conservar la</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materia del amparo hasta la terminación del juicio, pudiendo establecer condiciones de cuyo cumplimiento dependa el que la medida suspensional siga surtiendo</w:t>
      </w:r>
      <w:r>
        <w:rPr>
          <w:spacing w:val="-12"/>
        </w:rPr>
        <w:t> </w:t>
      </w:r>
      <w:r>
        <w:rPr/>
        <w:t>efectos.</w:t>
      </w:r>
    </w:p>
    <w:p>
      <w:pPr>
        <w:pStyle w:val="BodyText"/>
        <w:spacing w:before="1"/>
      </w:pPr>
    </w:p>
    <w:p>
      <w:pPr>
        <w:pStyle w:val="BodyText"/>
        <w:spacing w:before="1"/>
        <w:ind w:left="118" w:right="125" w:firstLine="288"/>
        <w:jc w:val="both"/>
      </w:pPr>
      <w:r>
        <w:rP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pPr>
        <w:pStyle w:val="BodyText"/>
        <w:spacing w:before="10"/>
        <w:rPr>
          <w:sz w:val="19"/>
        </w:rPr>
      </w:pPr>
    </w:p>
    <w:p>
      <w:pPr>
        <w:pStyle w:val="BodyText"/>
        <w:ind w:left="118" w:right="118" w:firstLine="288"/>
        <w:jc w:val="both"/>
      </w:pPr>
      <w:r>
        <w:rPr/>
        <w:t>El órgano jurisdiccional tomará las medidas que estime necesarias para evitar que se defrauden los derechos de los menores o incapaces, en tanto se dicte sentencia definitiva en el juicio de amparo.</w:t>
      </w:r>
    </w:p>
    <w:p>
      <w:pPr>
        <w:pStyle w:val="BodyText"/>
        <w:spacing w:before="8"/>
        <w:rPr>
          <w:sz w:val="19"/>
        </w:rPr>
      </w:pPr>
    </w:p>
    <w:p>
      <w:pPr>
        <w:pStyle w:val="BodyText"/>
        <w:spacing w:line="242" w:lineRule="auto"/>
        <w:ind w:left="118" w:right="118" w:firstLine="288"/>
        <w:jc w:val="both"/>
      </w:pPr>
      <w:bookmarkStart w:name="Artículo_148" w:id="148"/>
      <w:bookmarkEnd w:id="148"/>
      <w:r>
        <w:rPr/>
      </w:r>
      <w:r>
        <w:rPr>
          <w:b/>
        </w:rPr>
        <w:t>Artículo 148. </w:t>
      </w:r>
      <w:r>
        <w:rPr/>
        <w:t>En los juicios de amparo en que se reclame una norma general autoaplicativa sin señalar un acto concreto de aplicación, la suspensión se otorgará para impedir los efectos y consecuencias de la norma en la esfera jurídica del quejoso.</w:t>
      </w:r>
    </w:p>
    <w:p>
      <w:pPr>
        <w:pStyle w:val="BodyText"/>
        <w:spacing w:before="10"/>
        <w:rPr>
          <w:sz w:val="19"/>
        </w:rPr>
      </w:pPr>
    </w:p>
    <w:p>
      <w:pPr>
        <w:pStyle w:val="BodyText"/>
        <w:ind w:left="118" w:right="123" w:firstLine="288"/>
        <w:jc w:val="both"/>
      </w:pPr>
      <w:r>
        <w:rPr/>
        <w:t>En el caso en que se reclame una norma general con motivo del primer acto de su aplicación, la suspensión, además de los efectos establecidos en el párrafo anterior, se decretará en relación con los efectos y consecuencias subsecuentes del acto de aplicación.</w:t>
      </w:r>
    </w:p>
    <w:p>
      <w:pPr>
        <w:pStyle w:val="BodyText"/>
        <w:spacing w:before="8"/>
        <w:rPr>
          <w:sz w:val="19"/>
        </w:rPr>
      </w:pPr>
    </w:p>
    <w:p>
      <w:pPr>
        <w:pStyle w:val="BodyText"/>
        <w:ind w:left="118" w:right="111" w:firstLine="288"/>
        <w:jc w:val="both"/>
      </w:pPr>
      <w:bookmarkStart w:name="Artículo_149" w:id="149"/>
      <w:bookmarkEnd w:id="149"/>
      <w:r>
        <w:rPr/>
      </w:r>
      <w:r>
        <w:rPr>
          <w:b/>
        </w:rPr>
        <w:t>Artículo 149. </w:t>
      </w:r>
      <w:r>
        <w:rPr/>
        <w:t>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w:t>
      </w:r>
      <w:r>
        <w:rPr>
          <w:spacing w:val="3"/>
        </w:rPr>
        <w:t>tome </w:t>
      </w:r>
      <w:r>
        <w:rPr/>
        <w:t>las medidas pertinentes para el cumplimiento estricto de lo establecido en la resolución</w:t>
      </w:r>
      <w:r>
        <w:rPr>
          <w:spacing w:val="-21"/>
        </w:rPr>
        <w:t> </w:t>
      </w:r>
      <w:r>
        <w:rPr/>
        <w:t>suspensional.</w:t>
      </w:r>
    </w:p>
    <w:p>
      <w:pPr>
        <w:pStyle w:val="BodyText"/>
      </w:pPr>
    </w:p>
    <w:p>
      <w:pPr>
        <w:pStyle w:val="BodyText"/>
        <w:ind w:left="118" w:right="122" w:firstLine="288"/>
        <w:jc w:val="both"/>
      </w:pPr>
      <w:bookmarkStart w:name="Artículo_150" w:id="150"/>
      <w:bookmarkEnd w:id="150"/>
      <w:r>
        <w:rPr/>
      </w:r>
      <w:r>
        <w:rPr>
          <w:b/>
        </w:rPr>
        <w:t>Artículo 150. </w:t>
      </w:r>
      <w:r>
        <w:rPr/>
        <w:t>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pPr>
        <w:pStyle w:val="BodyText"/>
      </w:pPr>
    </w:p>
    <w:p>
      <w:pPr>
        <w:pStyle w:val="BodyText"/>
        <w:spacing w:line="242" w:lineRule="auto"/>
        <w:ind w:left="118" w:right="122" w:firstLine="288"/>
        <w:jc w:val="both"/>
      </w:pPr>
      <w:bookmarkStart w:name="Artículo_151" w:id="151"/>
      <w:bookmarkEnd w:id="151"/>
      <w:r>
        <w:rPr/>
      </w:r>
      <w:r>
        <w:rPr>
          <w:b/>
        </w:rPr>
        <w:t>Artículo 151. </w:t>
      </w:r>
      <w:r>
        <w:rPr/>
        <w:t>Cuando se promueva el amparo contra actos o resoluciones dictadas en un procedimiento de remate de inmuebles, la suspensión permitirá el curso del procedimiento hasta antes de que se ordene la escrituración y la entrega de los bienes al adjudicatario.</w:t>
      </w:r>
    </w:p>
    <w:p>
      <w:pPr>
        <w:pStyle w:val="BodyText"/>
        <w:spacing w:before="6"/>
        <w:rPr>
          <w:sz w:val="19"/>
        </w:rPr>
      </w:pPr>
    </w:p>
    <w:p>
      <w:pPr>
        <w:pStyle w:val="BodyText"/>
        <w:spacing w:before="1"/>
        <w:ind w:left="118" w:right="117" w:firstLine="288"/>
        <w:jc w:val="both"/>
      </w:pPr>
      <w:r>
        <w:rPr/>
        <w:t>Tratándose de bienes muebles, el efecto de la suspensión será el de impedir su entrega material al adjudicatario.</w:t>
      </w:r>
    </w:p>
    <w:p>
      <w:pPr>
        <w:pStyle w:val="BodyText"/>
        <w:spacing w:before="10"/>
        <w:rPr>
          <w:sz w:val="19"/>
        </w:rPr>
      </w:pPr>
    </w:p>
    <w:p>
      <w:pPr>
        <w:pStyle w:val="BodyText"/>
        <w:ind w:left="118" w:right="116" w:firstLine="288"/>
        <w:jc w:val="both"/>
      </w:pPr>
      <w:bookmarkStart w:name="Artículo_152" w:id="152"/>
      <w:bookmarkEnd w:id="152"/>
      <w:r>
        <w:rPr/>
      </w:r>
      <w:r>
        <w:rPr>
          <w:b/>
        </w:rPr>
        <w:t>Artículo 152. </w:t>
      </w:r>
      <w:r>
        <w:rPr/>
        <w:t>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pPr>
        <w:pStyle w:val="BodyText"/>
      </w:pPr>
    </w:p>
    <w:p>
      <w:pPr>
        <w:pStyle w:val="BodyText"/>
        <w:ind w:left="118" w:right="117" w:firstLine="288"/>
        <w:jc w:val="both"/>
      </w:pPr>
      <w:bookmarkStart w:name="Artículo_153" w:id="153"/>
      <w:bookmarkEnd w:id="153"/>
      <w:r>
        <w:rPr/>
      </w:r>
      <w:r>
        <w:rPr>
          <w:b/>
        </w:rPr>
        <w:t>Artículo 153. </w:t>
      </w:r>
      <w:r>
        <w:rPr/>
        <w:t>La resolución en que se niegue la suspensión definitiva deja expedita la facultad de la autoridad responsable para la ejecución del acto reclamado, aunque se interponga recurso de revisión; pero si con motivo del recurso se concede, sus efectos se retrotraerán a la fecha del auto o interlocutoria correspondiente, siempre que la naturaleza del acto lo permita.</w:t>
      </w:r>
    </w:p>
    <w:p>
      <w:pPr>
        <w:pStyle w:val="BodyText"/>
      </w:pPr>
    </w:p>
    <w:p>
      <w:pPr>
        <w:pStyle w:val="BodyText"/>
        <w:ind w:left="118" w:right="122" w:firstLine="288"/>
        <w:jc w:val="both"/>
      </w:pPr>
      <w:bookmarkStart w:name="Artículo_154" w:id="154"/>
      <w:bookmarkEnd w:id="154"/>
      <w:r>
        <w:rPr/>
      </w:r>
      <w:r>
        <w:rPr>
          <w:b/>
        </w:rPr>
        <w:t>Artículo 154. </w:t>
      </w:r>
      <w:r>
        <w:rPr/>
        <w:t>La resolución que conceda o niegue la suspensión definitiva podrá modificarse</w:t>
      </w:r>
      <w:r>
        <w:rPr>
          <w:spacing w:val="15"/>
        </w:rPr>
        <w:t> </w:t>
      </w:r>
      <w:r>
        <w:rPr/>
        <w:t>o revocarse de oficio o a petición de parte, cuando ocurra un hecho superveniente que lo motive, mientras no se pronuncie sentencia ejecutoria en el juicio de amparo, debiendo tramitarse en la misma forma que el incidente de</w:t>
      </w:r>
      <w:r>
        <w:rPr>
          <w:spacing w:val="-1"/>
        </w:rPr>
        <w:t> </w:t>
      </w:r>
      <w:r>
        <w:rPr/>
        <w:t>suspensión.</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17" w:firstLine="288"/>
        <w:jc w:val="both"/>
      </w:pPr>
      <w:bookmarkStart w:name="Artículo_155" w:id="155"/>
      <w:bookmarkEnd w:id="155"/>
      <w:r>
        <w:rPr/>
      </w:r>
      <w:r>
        <w:rPr>
          <w:b/>
        </w:rPr>
        <w:t>Artículo 155. </w:t>
      </w:r>
      <w:r>
        <w:rPr/>
        <w:t>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pPr>
        <w:pStyle w:val="BodyText"/>
        <w:spacing w:before="2"/>
        <w:rPr>
          <w:sz w:val="19"/>
        </w:rPr>
      </w:pPr>
    </w:p>
    <w:p>
      <w:pPr>
        <w:pStyle w:val="BodyText"/>
        <w:ind w:left="118" w:right="118" w:firstLine="288"/>
        <w:jc w:val="both"/>
      </w:pPr>
      <w:bookmarkStart w:name="Artículo_156" w:id="156"/>
      <w:bookmarkEnd w:id="156"/>
      <w:r>
        <w:rPr/>
      </w:r>
      <w:r>
        <w:rPr>
          <w:b/>
        </w:rPr>
        <w:t>Artículo 156. </w:t>
      </w:r>
      <w:r>
        <w:rPr/>
        <w:t>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w:t>
      </w:r>
      <w:r>
        <w:rPr>
          <w:spacing w:val="-3"/>
        </w:rPr>
        <w:t> </w:t>
      </w:r>
      <w:r>
        <w:rPr/>
        <w:t>competente.</w:t>
      </w:r>
    </w:p>
    <w:p>
      <w:pPr>
        <w:pStyle w:val="BodyText"/>
        <w:spacing w:before="1"/>
      </w:pPr>
    </w:p>
    <w:p>
      <w:pPr>
        <w:pStyle w:val="BodyText"/>
        <w:spacing w:line="242" w:lineRule="auto" w:before="1"/>
        <w:ind w:left="118" w:right="124" w:firstLine="288"/>
        <w:jc w:val="both"/>
      </w:pPr>
      <w:bookmarkStart w:name="Artículo_157" w:id="157"/>
      <w:bookmarkEnd w:id="157"/>
      <w:r>
        <w:rPr/>
      </w:r>
      <w:r>
        <w:rPr>
          <w:b/>
        </w:rPr>
        <w:t>Artículo 157. </w:t>
      </w:r>
      <w:r>
        <w:rPr/>
        <w:t>En lo conducente, se aplicará al auto que resuelve sobre la suspensión provisional lo dispuesto para la resolución que decide sobre la suspensión definitiva.</w:t>
      </w:r>
    </w:p>
    <w:p>
      <w:pPr>
        <w:pStyle w:val="BodyText"/>
        <w:spacing w:before="5"/>
        <w:rPr>
          <w:sz w:val="19"/>
        </w:rPr>
      </w:pPr>
    </w:p>
    <w:p>
      <w:pPr>
        <w:pStyle w:val="BodyText"/>
        <w:spacing w:line="242" w:lineRule="auto"/>
        <w:ind w:left="118" w:right="123" w:firstLine="288"/>
        <w:jc w:val="both"/>
      </w:pPr>
      <w:bookmarkStart w:name="Artículo_158" w:id="158"/>
      <w:bookmarkEnd w:id="158"/>
      <w:r>
        <w:rPr/>
      </w:r>
      <w:r>
        <w:rPr>
          <w:b/>
        </w:rPr>
        <w:t>Artículo 158. </w:t>
      </w:r>
      <w:r>
        <w:rPr/>
        <w:t>Para la ejecución y cumplimiento del auto de suspensión se observarán las disposiciones relativas al Título Quinto de esta Ley. En caso de incumplimiento, cuando la naturaleza del acto lo permita, el órgano jurisdiccional de amparo podrá hacer cumplir la resolución suspensional o podrá tomar las medidas para el</w:t>
      </w:r>
      <w:r>
        <w:rPr>
          <w:spacing w:val="-4"/>
        </w:rPr>
        <w:t> </w:t>
      </w:r>
      <w:r>
        <w:rPr/>
        <w:t>cumplimiento.</w:t>
      </w:r>
    </w:p>
    <w:p>
      <w:pPr>
        <w:pStyle w:val="BodyText"/>
        <w:spacing w:before="3"/>
        <w:rPr>
          <w:sz w:val="19"/>
        </w:rPr>
      </w:pPr>
    </w:p>
    <w:p>
      <w:pPr>
        <w:pStyle w:val="Heading1"/>
        <w:ind w:left="3940" w:right="3935" w:firstLine="1"/>
      </w:pPr>
      <w:r>
        <w:rPr/>
        <w:t>Segunda Parte En Materia Penal</w:t>
      </w:r>
    </w:p>
    <w:p>
      <w:pPr>
        <w:pStyle w:val="BodyText"/>
        <w:rPr>
          <w:b/>
        </w:rPr>
      </w:pPr>
    </w:p>
    <w:p>
      <w:pPr>
        <w:pStyle w:val="BodyText"/>
        <w:ind w:left="118" w:right="117" w:firstLine="288"/>
        <w:jc w:val="both"/>
      </w:pPr>
      <w:bookmarkStart w:name="Artículo_159" w:id="159"/>
      <w:bookmarkEnd w:id="159"/>
      <w:r>
        <w:rPr/>
      </w:r>
      <w:r>
        <w:rPr>
          <w:b/>
        </w:rPr>
        <w:t>Artículo 159. </w:t>
      </w:r>
      <w:r>
        <w:rPr/>
        <w:t>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pPr>
        <w:pStyle w:val="BodyText"/>
        <w:spacing w:before="11"/>
        <w:rPr>
          <w:sz w:val="19"/>
        </w:rPr>
      </w:pPr>
    </w:p>
    <w:p>
      <w:pPr>
        <w:pStyle w:val="ListParagraph"/>
        <w:numPr>
          <w:ilvl w:val="0"/>
          <w:numId w:val="34"/>
        </w:numPr>
        <w:tabs>
          <w:tab w:pos="1026" w:val="left" w:leader="none"/>
        </w:tabs>
        <w:spacing w:line="242" w:lineRule="auto" w:before="0" w:after="0"/>
        <w:ind w:left="838" w:right="120" w:firstLine="0"/>
        <w:jc w:val="both"/>
        <w:rPr>
          <w:sz w:val="20"/>
        </w:rPr>
      </w:pPr>
      <w:r>
        <w:rPr>
          <w:sz w:val="20"/>
        </w:rPr>
        <w:t>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w:t>
      </w:r>
      <w:r>
        <w:rPr>
          <w:spacing w:val="-2"/>
          <w:sz w:val="20"/>
        </w:rPr>
        <w:t> </w:t>
      </w:r>
      <w:r>
        <w:rPr>
          <w:sz w:val="20"/>
        </w:rPr>
        <w:t>resolución;</w:t>
      </w:r>
    </w:p>
    <w:p>
      <w:pPr>
        <w:pStyle w:val="BodyText"/>
        <w:spacing w:before="4"/>
        <w:rPr>
          <w:sz w:val="19"/>
        </w:rPr>
      </w:pPr>
    </w:p>
    <w:p>
      <w:pPr>
        <w:pStyle w:val="ListParagraph"/>
        <w:numPr>
          <w:ilvl w:val="0"/>
          <w:numId w:val="34"/>
        </w:numPr>
        <w:tabs>
          <w:tab w:pos="1120" w:val="left" w:leader="none"/>
        </w:tabs>
        <w:spacing w:line="240" w:lineRule="auto" w:before="0" w:after="0"/>
        <w:ind w:left="838" w:right="124" w:firstLine="0"/>
        <w:jc w:val="both"/>
        <w:rPr>
          <w:sz w:val="20"/>
        </w:rPr>
      </w:pPr>
      <w:r>
        <w:rPr>
          <w:sz w:val="20"/>
        </w:rPr>
        <w:t>Ordenará a la autoridad responsable que mantenga las cosas en el estado en que se encuentren o que, en su caso, proceda inmediatamente a poner en libertad o a disposición del Ministerio Público al quejoso y que rinda al juez de distrito el informe previo;</w:t>
      </w:r>
      <w:r>
        <w:rPr>
          <w:spacing w:val="-11"/>
          <w:sz w:val="20"/>
        </w:rPr>
        <w:t> </w:t>
      </w:r>
      <w:r>
        <w:rPr>
          <w:sz w:val="20"/>
        </w:rPr>
        <w:t>y</w:t>
      </w:r>
    </w:p>
    <w:p>
      <w:pPr>
        <w:pStyle w:val="BodyText"/>
      </w:pPr>
    </w:p>
    <w:p>
      <w:pPr>
        <w:pStyle w:val="ListParagraph"/>
        <w:numPr>
          <w:ilvl w:val="0"/>
          <w:numId w:val="34"/>
        </w:numPr>
        <w:tabs>
          <w:tab w:pos="1190" w:val="left" w:leader="none"/>
        </w:tabs>
        <w:spacing w:line="242" w:lineRule="auto" w:before="0" w:after="0"/>
        <w:ind w:left="838" w:right="121" w:firstLine="0"/>
        <w:jc w:val="both"/>
        <w:rPr>
          <w:sz w:val="20"/>
        </w:rPr>
      </w:pPr>
      <w:r>
        <w:rPr>
          <w:sz w:val="20"/>
        </w:rPr>
        <w:t>Remitirá de inmediato el original de las actuaciones al juez de distrito competente y conservará el duplicado para vigilar el cumplimiento de sus resoluciones, hasta en tanto el juez de distrito provea lo conducente, con plena</w:t>
      </w:r>
      <w:r>
        <w:rPr>
          <w:spacing w:val="-3"/>
          <w:sz w:val="20"/>
        </w:rPr>
        <w:t> </w:t>
      </w:r>
      <w:r>
        <w:rPr>
          <w:sz w:val="20"/>
        </w:rPr>
        <w:t>jurisdicción.</w:t>
      </w:r>
    </w:p>
    <w:p>
      <w:pPr>
        <w:pStyle w:val="BodyText"/>
        <w:spacing w:before="6"/>
        <w:rPr>
          <w:sz w:val="19"/>
        </w:rPr>
      </w:pPr>
    </w:p>
    <w:p>
      <w:pPr>
        <w:pStyle w:val="BodyText"/>
        <w:spacing w:before="1"/>
        <w:ind w:left="118" w:right="123" w:firstLine="288"/>
        <w:jc w:val="both"/>
      </w:pPr>
      <w:r>
        <w:rPr/>
        <w:t>En caso de la probable comisión del delito de desaparición forzada, el juez de primera instancia procederá conforme lo establecido por el artículo 15 de esta Ley.</w:t>
      </w:r>
    </w:p>
    <w:p>
      <w:pPr>
        <w:pStyle w:val="BodyText"/>
        <w:spacing w:before="1"/>
      </w:pPr>
    </w:p>
    <w:p>
      <w:pPr>
        <w:pStyle w:val="BodyText"/>
        <w:ind w:left="118" w:right="115" w:firstLine="288"/>
        <w:jc w:val="both"/>
      </w:pPr>
      <w:r>
        <w:rP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pPr>
      <w:r>
        <w:rPr/>
        <w:t>lugar, siempre que en él resida la autoridad ejecutora o, en su defecto, ante el órgano jurisdiccional más próximo.</w:t>
      </w:r>
    </w:p>
    <w:p>
      <w:pPr>
        <w:pStyle w:val="BodyText"/>
        <w:spacing w:before="11"/>
        <w:rPr>
          <w:sz w:val="19"/>
        </w:rPr>
      </w:pPr>
    </w:p>
    <w:p>
      <w:pPr>
        <w:pStyle w:val="BodyText"/>
        <w:ind w:left="118" w:right="116" w:firstLine="288"/>
        <w:jc w:val="both"/>
      </w:pPr>
      <w:bookmarkStart w:name="Artículo_160" w:id="160"/>
      <w:bookmarkEnd w:id="160"/>
      <w:r>
        <w:rPr/>
      </w:r>
      <w:r>
        <w:rPr>
          <w:b/>
        </w:rPr>
        <w:t>Artículo 160. </w:t>
      </w:r>
      <w:r>
        <w:rPr/>
        <w:t>Cuando el acto reclamado sea la orden de deportación, expulsión o extradición, la suspensión tiene por efecto que no se ejecute y el interesado quede en el lugar donde se encuentre a disposición del órgano jurisdiccional de amparo, sólo en lo que se refiere a su libertad personal.</w:t>
      </w:r>
    </w:p>
    <w:p>
      <w:pPr>
        <w:pStyle w:val="BodyText"/>
        <w:spacing w:before="10"/>
        <w:rPr>
          <w:sz w:val="19"/>
        </w:rPr>
      </w:pPr>
    </w:p>
    <w:p>
      <w:pPr>
        <w:pStyle w:val="BodyText"/>
        <w:spacing w:line="242" w:lineRule="auto" w:before="1"/>
        <w:ind w:left="118" w:right="124" w:firstLine="288"/>
        <w:jc w:val="both"/>
      </w:pPr>
      <w:bookmarkStart w:name="Artículo_161" w:id="161"/>
      <w:bookmarkEnd w:id="161"/>
      <w:r>
        <w:rPr/>
      </w:r>
      <w:r>
        <w:rPr>
          <w:b/>
        </w:rPr>
        <w:t>Artículo 161. </w:t>
      </w:r>
      <w:r>
        <w:rPr/>
        <w:t>Cuando el acto reclamado consista en la orden de traslado del quejoso de un centro penitenciario a otro, la suspensión, si procede, tendrá por efecto que éste no se lleve a cabo.</w:t>
      </w:r>
    </w:p>
    <w:p>
      <w:pPr>
        <w:pStyle w:val="BodyText"/>
        <w:spacing w:before="5"/>
        <w:rPr>
          <w:sz w:val="19"/>
        </w:rPr>
      </w:pPr>
    </w:p>
    <w:p>
      <w:pPr>
        <w:pStyle w:val="BodyText"/>
        <w:spacing w:line="242" w:lineRule="auto"/>
        <w:ind w:left="118" w:right="114" w:firstLine="288"/>
        <w:jc w:val="both"/>
      </w:pPr>
      <w:bookmarkStart w:name="Artículo_162" w:id="162"/>
      <w:bookmarkEnd w:id="162"/>
      <w:r>
        <w:rPr/>
      </w:r>
      <w:r>
        <w:rPr>
          <w:b/>
        </w:rPr>
        <w:t>Artículo 162. </w:t>
      </w:r>
      <w:r>
        <w:rPr/>
        <w:t>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pPr>
        <w:pStyle w:val="BodyText"/>
        <w:spacing w:before="3"/>
        <w:rPr>
          <w:sz w:val="19"/>
        </w:rPr>
      </w:pPr>
    </w:p>
    <w:p>
      <w:pPr>
        <w:pStyle w:val="BodyText"/>
        <w:ind w:left="118" w:right="125" w:firstLine="288"/>
        <w:jc w:val="both"/>
      </w:pPr>
      <w:r>
        <w:rPr/>
        <w:t>De acuerdo con las circunstancias del caso, la suspensión podrá tener como efecto que la privación de la libertad se ejecute en el domicilio del</w:t>
      </w:r>
      <w:r>
        <w:rPr>
          <w:spacing w:val="-5"/>
        </w:rPr>
        <w:t> </w:t>
      </w:r>
      <w:r>
        <w:rPr/>
        <w:t>quejoso.</w:t>
      </w:r>
    </w:p>
    <w:p>
      <w:pPr>
        <w:pStyle w:val="BodyText"/>
        <w:spacing w:before="11"/>
        <w:rPr>
          <w:sz w:val="19"/>
        </w:rPr>
      </w:pPr>
    </w:p>
    <w:p>
      <w:pPr>
        <w:pStyle w:val="BodyText"/>
        <w:ind w:left="118" w:right="119" w:firstLine="288"/>
        <w:jc w:val="both"/>
      </w:pPr>
      <w:bookmarkStart w:name="Artículo_163" w:id="163"/>
      <w:bookmarkEnd w:id="163"/>
      <w:r>
        <w:rPr/>
      </w:r>
      <w:r>
        <w:rPr>
          <w:b/>
        </w:rPr>
        <w:t>Artículo 163. </w:t>
      </w:r>
      <w:r>
        <w:rPr/>
        <w:t>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w:t>
      </w:r>
      <w:r>
        <w:rPr>
          <w:spacing w:val="-4"/>
        </w:rPr>
        <w:t> </w:t>
      </w:r>
      <w:r>
        <w:rPr/>
        <w:t>procedimiento.</w:t>
      </w:r>
    </w:p>
    <w:p>
      <w:pPr>
        <w:pStyle w:val="BodyText"/>
      </w:pPr>
    </w:p>
    <w:p>
      <w:pPr>
        <w:pStyle w:val="BodyText"/>
        <w:ind w:left="118" w:right="123" w:firstLine="288"/>
        <w:jc w:val="both"/>
      </w:pPr>
      <w:bookmarkStart w:name="Artículo_164" w:id="164"/>
      <w:bookmarkEnd w:id="164"/>
      <w:r>
        <w:rPr/>
      </w:r>
      <w:r>
        <w:rPr>
          <w:b/>
        </w:rPr>
        <w:t>Artículo 164. </w:t>
      </w:r>
      <w:r>
        <w:rPr/>
        <w:t>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pPr>
        <w:pStyle w:val="BodyText"/>
        <w:spacing w:before="2"/>
      </w:pPr>
    </w:p>
    <w:p>
      <w:pPr>
        <w:pStyle w:val="BodyText"/>
        <w:ind w:left="118" w:right="119" w:firstLine="288"/>
        <w:jc w:val="both"/>
      </w:pPr>
      <w:r>
        <w:rPr/>
        <w:t>Cuando en los supuestos del párrafo anterior, la detención del quejoso no tenga relación con la comisión de un delito, la suspensión tendrá por efecto que sea puesto en libertad.</w:t>
      </w:r>
    </w:p>
    <w:p>
      <w:pPr>
        <w:pStyle w:val="BodyText"/>
        <w:spacing w:before="8"/>
        <w:rPr>
          <w:sz w:val="19"/>
        </w:rPr>
      </w:pPr>
    </w:p>
    <w:p>
      <w:pPr>
        <w:pStyle w:val="BodyText"/>
        <w:ind w:left="118" w:right="120" w:firstLine="288"/>
        <w:jc w:val="both"/>
      </w:pPr>
      <w:bookmarkStart w:name="Artículo_165" w:id="165"/>
      <w:bookmarkEnd w:id="165"/>
      <w:r>
        <w:rPr/>
      </w:r>
      <w:r>
        <w:rPr>
          <w:b/>
        </w:rPr>
        <w:t>Artículo 165. </w:t>
      </w:r>
      <w:r>
        <w:rPr/>
        <w:t>Cuando el acto reclamado afecte la libertad personal del quejoso y se encuentre a disposición del Ministerio Público por cumplimiento de orden de detención del mismo, salvo el caso de la detención por caso urgente, la suspensión se concederá para el efecto de que dentro del término de cuarenta y ocho horas o en un plazo de noventa y seis, tratándose de delincuencia organizada, contadas a partir del momento de la detención, sea puesto en libertad o a disposición ante el órgano jurisdiccional correspondiente.</w:t>
      </w:r>
    </w:p>
    <w:p>
      <w:pPr>
        <w:pStyle w:val="BodyText"/>
        <w:spacing w:before="3"/>
      </w:pPr>
    </w:p>
    <w:p>
      <w:pPr>
        <w:pStyle w:val="BodyText"/>
        <w:ind w:left="118" w:right="127" w:firstLine="288"/>
        <w:jc w:val="both"/>
      </w:pPr>
      <w:r>
        <w:rPr/>
        <w:t>Cuando el quejoso se encuentre a disposición del Ministerio Público por haber sido detenido en flagrancia o caso urgente, el plazo contará a partir de que sea puesto a disposición.</w:t>
      </w:r>
    </w:p>
    <w:p>
      <w:pPr>
        <w:pStyle w:val="BodyText"/>
        <w:spacing w:before="1"/>
      </w:pPr>
    </w:p>
    <w:p>
      <w:pPr>
        <w:pStyle w:val="BodyText"/>
        <w:ind w:left="118" w:right="114" w:firstLine="288"/>
        <w:jc w:val="both"/>
      </w:pPr>
      <w:r>
        <w:rPr/>
        <w:t>En cualquier caso distinto de los anteriores y en la detención por caso urgente, en los que el Ministerio Público restrinja la libertad del quejoso, la suspensión se concederá para el efecto de que sea puesto en inmediata libertad o a disposición ante el órgano jurisdiccional correspondiente.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1"/>
        <w:rPr>
          <w:rFonts w:ascii="Times New Roman"/>
          <w:i/>
        </w:rPr>
      </w:pPr>
    </w:p>
    <w:p>
      <w:pPr>
        <w:pStyle w:val="BodyText"/>
        <w:spacing w:line="242" w:lineRule="auto" w:before="1"/>
        <w:ind w:left="118" w:right="124" w:firstLine="288"/>
        <w:jc w:val="both"/>
      </w:pPr>
      <w:bookmarkStart w:name="Artículo_166" w:id="166"/>
      <w:bookmarkEnd w:id="166"/>
      <w:r>
        <w:rPr/>
      </w:r>
      <w:r>
        <w:rPr>
          <w:b/>
        </w:rPr>
        <w:t>Artículo 166. </w:t>
      </w:r>
      <w:r>
        <w:rPr/>
        <w:t>Cuando se trate de orden de aprehensión o reaprehensión o de medida cautelar que implique privación de la libertad, dictadas por autoridad competente, se estará a lo siguiente:</w:t>
      </w:r>
    </w:p>
    <w:p>
      <w:pPr>
        <w:pStyle w:val="BodyText"/>
        <w:spacing w:before="5"/>
        <w:rPr>
          <w:sz w:val="19"/>
        </w:rPr>
      </w:pPr>
    </w:p>
    <w:p>
      <w:pPr>
        <w:pStyle w:val="ListParagraph"/>
        <w:numPr>
          <w:ilvl w:val="0"/>
          <w:numId w:val="35"/>
        </w:numPr>
        <w:tabs>
          <w:tab w:pos="1012" w:val="left" w:leader="none"/>
        </w:tabs>
        <w:spacing w:line="242" w:lineRule="auto" w:before="0" w:after="0"/>
        <w:ind w:left="838" w:right="125" w:firstLine="0"/>
        <w:jc w:val="both"/>
        <w:rPr>
          <w:sz w:val="20"/>
        </w:rPr>
      </w:pPr>
      <w:r>
        <w:rPr>
          <w:sz w:val="20"/>
        </w:rPr>
        <w:t>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w:t>
      </w:r>
      <w:r>
        <w:rPr>
          <w:spacing w:val="-20"/>
          <w:sz w:val="20"/>
        </w:rPr>
        <w:t> </w:t>
      </w:r>
      <w:r>
        <w:rPr>
          <w:sz w:val="20"/>
        </w:rPr>
        <w:t>libertad,</w:t>
      </w:r>
    </w:p>
    <w:p>
      <w:pPr>
        <w:spacing w:after="0" w:line="242" w:lineRule="auto"/>
        <w:jc w:val="both"/>
        <w:rPr>
          <w:sz w:val="20"/>
        </w:rPr>
        <w:sectPr>
          <w:pgSz w:w="12240" w:h="15840"/>
          <w:pgMar w:header="708" w:footer="712" w:top="1760" w:bottom="900" w:left="1300" w:right="1300"/>
        </w:sectPr>
      </w:pPr>
    </w:p>
    <w:p>
      <w:pPr>
        <w:pStyle w:val="BodyText"/>
        <w:spacing w:before="8"/>
        <w:rPr>
          <w:sz w:val="27"/>
        </w:rPr>
      </w:pPr>
    </w:p>
    <w:p>
      <w:pPr>
        <w:pStyle w:val="BodyText"/>
        <w:spacing w:before="92"/>
        <w:ind w:left="838" w:right="338"/>
      </w:pPr>
      <w:r>
        <w:rPr/>
        <w:t>quedando a disposición de la autoridad a la que corresponda conocer el procedimiento penal para los efectos de su</w:t>
      </w:r>
      <w:r>
        <w:rPr>
          <w:spacing w:val="-2"/>
        </w:rPr>
        <w:t> </w:t>
      </w:r>
      <w:r>
        <w:rPr/>
        <w:t>continuación;</w:t>
      </w:r>
    </w:p>
    <w:p>
      <w:pPr>
        <w:pStyle w:val="BodyText"/>
        <w:spacing w:before="11"/>
        <w:rPr>
          <w:sz w:val="19"/>
        </w:rPr>
      </w:pPr>
    </w:p>
    <w:p>
      <w:pPr>
        <w:pStyle w:val="ListParagraph"/>
        <w:numPr>
          <w:ilvl w:val="0"/>
          <w:numId w:val="35"/>
        </w:numPr>
        <w:tabs>
          <w:tab w:pos="1079" w:val="left" w:leader="none"/>
        </w:tabs>
        <w:spacing w:line="240" w:lineRule="auto" w:before="0" w:after="0"/>
        <w:ind w:left="838" w:right="123" w:firstLine="0"/>
        <w:jc w:val="both"/>
        <w:rPr>
          <w:sz w:val="20"/>
        </w:rPr>
      </w:pPr>
      <w:r>
        <w:rPr>
          <w:sz w:val="20"/>
        </w:rPr>
        <w:t>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w:t>
      </w:r>
      <w:r>
        <w:rPr>
          <w:spacing w:val="-10"/>
          <w:sz w:val="20"/>
        </w:rPr>
        <w:t> </w:t>
      </w:r>
      <w:r>
        <w:rPr>
          <w:sz w:val="20"/>
        </w:rPr>
        <w:t>federal.</w:t>
      </w:r>
    </w:p>
    <w:p>
      <w:pPr>
        <w:pStyle w:val="BodyText"/>
      </w:pPr>
    </w:p>
    <w:p>
      <w:pPr>
        <w:pStyle w:val="BodyText"/>
        <w:ind w:left="118" w:right="114" w:firstLine="288"/>
        <w:jc w:val="both"/>
      </w:pPr>
      <w:r>
        <w:rPr/>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pPr>
        <w:pStyle w:val="BodyText"/>
        <w:spacing w:before="1"/>
      </w:pPr>
    </w:p>
    <w:p>
      <w:pPr>
        <w:pStyle w:val="BodyText"/>
        <w:ind w:left="118" w:right="126" w:firstLine="288"/>
        <w:jc w:val="both"/>
      </w:pPr>
      <w:r>
        <w:rPr/>
        <w:t>Si el quejoso incumple las medidas de aseguramiento o las obligaciones derivadas del procedimiento penal, la suspensión será revocada con la sola comunicación de la autoridad responsable.</w:t>
      </w:r>
    </w:p>
    <w:p>
      <w:pPr>
        <w:pStyle w:val="BodyText"/>
        <w:spacing w:before="2"/>
      </w:pPr>
    </w:p>
    <w:p>
      <w:pPr>
        <w:pStyle w:val="BodyText"/>
        <w:ind w:left="118" w:right="124" w:firstLine="288"/>
        <w:jc w:val="both"/>
      </w:pPr>
      <w:r>
        <w:rPr/>
        <w:t>En el caso de órdenes o medidas de protección impuestas en cualquiera de las etapas de un procedimiento penal se estará a lo dispuesto en el penúltimo párrafo del artículo 128.</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17-06-2016</w:t>
      </w:r>
    </w:p>
    <w:p>
      <w:pPr>
        <w:pStyle w:val="BodyText"/>
        <w:spacing w:before="1"/>
        <w:rPr>
          <w:rFonts w:ascii="Times New Roman"/>
          <w:i/>
        </w:rPr>
      </w:pPr>
    </w:p>
    <w:p>
      <w:pPr>
        <w:pStyle w:val="BodyText"/>
        <w:ind w:left="118" w:right="124" w:firstLine="288"/>
        <w:jc w:val="both"/>
      </w:pPr>
      <w:bookmarkStart w:name="Artículo_167" w:id="167"/>
      <w:bookmarkEnd w:id="167"/>
      <w:r>
        <w:rPr/>
      </w:r>
      <w:r>
        <w:rPr>
          <w:b/>
        </w:rPr>
        <w:t>Artículo 167. </w:t>
      </w:r>
      <w:r>
        <w:rPr/>
        <w:t>La libertad otorgada al quejoso con motivo de una resolución suspensional podrá ser revocada cuando éste incumpla con cualquiera de las obligaciones establecidas por el órgano jurisdiccional de amparo o derivadas del procedimiento penal respectivo.</w:t>
      </w:r>
    </w:p>
    <w:p>
      <w:pPr>
        <w:pStyle w:val="BodyText"/>
      </w:pPr>
    </w:p>
    <w:p>
      <w:pPr>
        <w:pStyle w:val="BodyText"/>
        <w:spacing w:line="242" w:lineRule="auto"/>
        <w:ind w:left="118" w:right="124" w:firstLine="288"/>
        <w:jc w:val="both"/>
      </w:pPr>
      <w:bookmarkStart w:name="Artículo_168" w:id="168"/>
      <w:bookmarkEnd w:id="168"/>
      <w:r>
        <w:rPr/>
      </w:r>
      <w:r>
        <w:rPr>
          <w:b/>
        </w:rPr>
        <w:t>Artículo 168. </w:t>
      </w:r>
      <w:r>
        <w:rPr/>
        <w:t>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pPr>
        <w:pStyle w:val="BodyText"/>
        <w:spacing w:before="6"/>
        <w:rPr>
          <w:sz w:val="19"/>
        </w:rPr>
      </w:pPr>
    </w:p>
    <w:p>
      <w:pPr>
        <w:pStyle w:val="BodyText"/>
        <w:ind w:left="406"/>
      </w:pPr>
      <w:r>
        <w:rPr/>
        <w:t>Para fijar el monto de la garantía se tomará en cuenta:</w:t>
      </w:r>
    </w:p>
    <w:p>
      <w:pPr>
        <w:pStyle w:val="BodyText"/>
        <w:spacing w:before="10"/>
        <w:rPr>
          <w:sz w:val="19"/>
        </w:rPr>
      </w:pPr>
    </w:p>
    <w:p>
      <w:pPr>
        <w:pStyle w:val="ListParagraph"/>
        <w:numPr>
          <w:ilvl w:val="0"/>
          <w:numId w:val="36"/>
        </w:numPr>
        <w:tabs>
          <w:tab w:pos="1005" w:val="left" w:leader="none"/>
        </w:tabs>
        <w:spacing w:line="240" w:lineRule="auto" w:before="0" w:after="0"/>
        <w:ind w:left="1004" w:right="0" w:hanging="167"/>
        <w:jc w:val="both"/>
        <w:rPr>
          <w:sz w:val="20"/>
        </w:rPr>
      </w:pPr>
      <w:r>
        <w:rPr>
          <w:sz w:val="20"/>
        </w:rPr>
        <w:t>La naturaleza, modalidades y características del delito que se le</w:t>
      </w:r>
      <w:r>
        <w:rPr>
          <w:spacing w:val="-7"/>
          <w:sz w:val="20"/>
        </w:rPr>
        <w:t> </w:t>
      </w:r>
      <w:r>
        <w:rPr>
          <w:sz w:val="20"/>
        </w:rPr>
        <w:t>impute;</w:t>
      </w:r>
    </w:p>
    <w:p>
      <w:pPr>
        <w:pStyle w:val="BodyText"/>
        <w:spacing w:before="1"/>
      </w:pPr>
    </w:p>
    <w:p>
      <w:pPr>
        <w:pStyle w:val="ListParagraph"/>
        <w:numPr>
          <w:ilvl w:val="0"/>
          <w:numId w:val="36"/>
        </w:numPr>
        <w:tabs>
          <w:tab w:pos="1060" w:val="left" w:leader="none"/>
        </w:tabs>
        <w:spacing w:line="240" w:lineRule="auto" w:before="0" w:after="0"/>
        <w:ind w:left="1059" w:right="0" w:hanging="222"/>
        <w:jc w:val="both"/>
        <w:rPr>
          <w:sz w:val="20"/>
        </w:rPr>
      </w:pPr>
      <w:r>
        <w:rPr>
          <w:sz w:val="20"/>
        </w:rPr>
        <w:t>Las características personales y situación económica del quejoso;</w:t>
      </w:r>
      <w:r>
        <w:rPr>
          <w:spacing w:val="-4"/>
          <w:sz w:val="20"/>
        </w:rPr>
        <w:t> </w:t>
      </w:r>
      <w:r>
        <w:rPr>
          <w:sz w:val="20"/>
        </w:rPr>
        <w:t>y</w:t>
      </w:r>
    </w:p>
    <w:p>
      <w:pPr>
        <w:pStyle w:val="BodyText"/>
        <w:spacing w:before="10"/>
        <w:rPr>
          <w:sz w:val="19"/>
        </w:rPr>
      </w:pPr>
    </w:p>
    <w:p>
      <w:pPr>
        <w:pStyle w:val="ListParagraph"/>
        <w:numPr>
          <w:ilvl w:val="0"/>
          <w:numId w:val="36"/>
        </w:numPr>
        <w:tabs>
          <w:tab w:pos="1115" w:val="left" w:leader="none"/>
        </w:tabs>
        <w:spacing w:line="240" w:lineRule="auto" w:before="0" w:after="0"/>
        <w:ind w:left="1114" w:right="0" w:hanging="277"/>
        <w:jc w:val="both"/>
        <w:rPr>
          <w:sz w:val="20"/>
        </w:rPr>
      </w:pPr>
      <w:r>
        <w:rPr>
          <w:sz w:val="20"/>
        </w:rPr>
        <w:t>La posibilidad de que se sustraiga a la acción de la justicia.</w:t>
      </w:r>
    </w:p>
    <w:p>
      <w:pPr>
        <w:pStyle w:val="BodyText"/>
        <w:spacing w:before="3"/>
      </w:pPr>
    </w:p>
    <w:p>
      <w:pPr>
        <w:pStyle w:val="BodyText"/>
        <w:ind w:left="118" w:right="125" w:firstLine="288"/>
        <w:jc w:val="both"/>
      </w:pPr>
      <w:r>
        <w:rPr/>
        <w:t>No se exigirá garantía cuando la suspensión únicamente tenga los efectos a que se refiere el artículo 163 de esta Ley.</w:t>
      </w:r>
    </w:p>
    <w:p>
      <w:pPr>
        <w:pStyle w:val="BodyText"/>
        <w:spacing w:before="8"/>
        <w:rPr>
          <w:sz w:val="19"/>
        </w:rPr>
      </w:pPr>
    </w:p>
    <w:p>
      <w:pPr>
        <w:pStyle w:val="BodyText"/>
        <w:spacing w:before="1"/>
        <w:ind w:left="118" w:right="114" w:firstLine="288"/>
        <w:jc w:val="both"/>
      </w:pPr>
      <w:bookmarkStart w:name="Artículo_169" w:id="169"/>
      <w:bookmarkEnd w:id="169"/>
      <w:r>
        <w:rPr/>
      </w:r>
      <w:r>
        <w:rPr>
          <w:b/>
        </w:rPr>
        <w:t>Artículo 169. </w:t>
      </w:r>
      <w:r>
        <w:rPr/>
        <w:t>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w:t>
      </w:r>
      <w:r>
        <w:rPr>
          <w:spacing w:val="-5"/>
        </w:rPr>
        <w:t> </w:t>
      </w:r>
      <w:r>
        <w:rPr/>
        <w:t>amparo.</w:t>
      </w:r>
    </w:p>
    <w:p>
      <w:pPr>
        <w:pStyle w:val="BodyText"/>
        <w:spacing w:before="10"/>
        <w:rPr>
          <w:sz w:val="11"/>
        </w:rPr>
      </w:pPr>
    </w:p>
    <w:p>
      <w:pPr>
        <w:pStyle w:val="Heading1"/>
        <w:spacing w:before="94"/>
      </w:pPr>
      <w:r>
        <w:rPr/>
        <w:t>CAPÍTULO II</w:t>
      </w:r>
    </w:p>
    <w:p>
      <w:pPr>
        <w:spacing w:before="1"/>
        <w:ind w:left="607" w:right="604" w:firstLine="0"/>
        <w:jc w:val="center"/>
        <w:rPr>
          <w:b/>
          <w:sz w:val="22"/>
        </w:rPr>
      </w:pPr>
      <w:r>
        <w:rPr>
          <w:b/>
          <w:sz w:val="22"/>
        </w:rPr>
        <w:t>El Amparo Directo</w:t>
      </w:r>
    </w:p>
    <w:p>
      <w:pPr>
        <w:spacing w:after="0"/>
        <w:jc w:val="center"/>
        <w:rPr>
          <w:sz w:val="22"/>
        </w:rPr>
        <w:sectPr>
          <w:pgSz w:w="12240" w:h="15840"/>
          <w:pgMar w:header="708" w:footer="712" w:top="1760" w:bottom="900" w:left="1300" w:right="1300"/>
        </w:sectPr>
      </w:pPr>
    </w:p>
    <w:p>
      <w:pPr>
        <w:pStyle w:val="BodyText"/>
        <w:spacing w:before="5"/>
        <w:rPr>
          <w:b/>
          <w:sz w:val="27"/>
        </w:rPr>
      </w:pPr>
    </w:p>
    <w:p>
      <w:pPr>
        <w:spacing w:before="93"/>
        <w:ind w:left="3904" w:right="3897" w:firstLine="0"/>
        <w:jc w:val="center"/>
        <w:rPr>
          <w:b/>
          <w:sz w:val="22"/>
        </w:rPr>
      </w:pPr>
      <w:r>
        <w:rPr>
          <w:b/>
          <w:sz w:val="22"/>
        </w:rPr>
        <w:t>Sección Primera Procedencia</w:t>
      </w:r>
    </w:p>
    <w:p>
      <w:pPr>
        <w:pStyle w:val="BodyText"/>
        <w:spacing w:before="1"/>
        <w:rPr>
          <w:b/>
        </w:rPr>
      </w:pPr>
    </w:p>
    <w:p>
      <w:pPr>
        <w:spacing w:before="0"/>
        <w:ind w:left="406" w:right="0" w:firstLine="0"/>
        <w:jc w:val="left"/>
        <w:rPr>
          <w:sz w:val="20"/>
        </w:rPr>
      </w:pPr>
      <w:bookmarkStart w:name="Artículo_170" w:id="170"/>
      <w:bookmarkEnd w:id="170"/>
      <w:r>
        <w:rPr/>
      </w:r>
      <w:r>
        <w:rPr>
          <w:b/>
          <w:sz w:val="20"/>
        </w:rPr>
        <w:t>Artículo 170. </w:t>
      </w:r>
      <w:r>
        <w:rPr>
          <w:sz w:val="20"/>
        </w:rPr>
        <w:t>El juicio de amparo directo procede:</w:t>
      </w:r>
    </w:p>
    <w:p>
      <w:pPr>
        <w:pStyle w:val="BodyText"/>
        <w:spacing w:before="10"/>
        <w:rPr>
          <w:sz w:val="19"/>
        </w:rPr>
      </w:pPr>
    </w:p>
    <w:p>
      <w:pPr>
        <w:pStyle w:val="ListParagraph"/>
        <w:numPr>
          <w:ilvl w:val="0"/>
          <w:numId w:val="37"/>
        </w:numPr>
        <w:tabs>
          <w:tab w:pos="1053" w:val="left" w:leader="none"/>
        </w:tabs>
        <w:spacing w:line="242" w:lineRule="auto" w:before="0" w:after="0"/>
        <w:ind w:left="838" w:right="122" w:firstLine="0"/>
        <w:jc w:val="both"/>
        <w:rPr>
          <w:sz w:val="20"/>
        </w:rPr>
      </w:pPr>
      <w:r>
        <w:rPr>
          <w:sz w:val="20"/>
        </w:rPr>
        <w:t>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w:t>
      </w:r>
      <w:r>
        <w:rPr>
          <w:spacing w:val="-4"/>
          <w:sz w:val="20"/>
        </w:rPr>
        <w:t> </w:t>
      </w:r>
      <w:r>
        <w:rPr>
          <w:sz w:val="20"/>
        </w:rPr>
        <w:t>fallo.</w:t>
      </w:r>
    </w:p>
    <w:p>
      <w:pPr>
        <w:pStyle w:val="BodyText"/>
        <w:spacing w:before="4"/>
        <w:rPr>
          <w:sz w:val="19"/>
        </w:rPr>
      </w:pPr>
    </w:p>
    <w:p>
      <w:pPr>
        <w:pStyle w:val="BodyText"/>
        <w:ind w:left="838" w:right="123"/>
        <w:jc w:val="both"/>
      </w:pPr>
      <w:r>
        <w:rPr/>
        <w:t>Se entenderá por sentencias definitivas o laudos, los que decidan el juicio en lo principal; por resoluciones que pongan fin al juicio, las que sin decidirlo en lo principal lo den por concluido. En materia penal, las sentencias condenatorias, absolutorias y de sobreseimiento, podrán ser impugnadas por la víctima u ofendido del delito.</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838" w:right="121"/>
        <w:jc w:val="both"/>
      </w:pPr>
      <w:r>
        <w:rP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pPr>
        <w:pStyle w:val="BodyText"/>
      </w:pPr>
    </w:p>
    <w:p>
      <w:pPr>
        <w:pStyle w:val="BodyText"/>
        <w:ind w:left="838" w:right="116"/>
        <w:jc w:val="both"/>
      </w:pPr>
      <w:r>
        <w:rP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pPr>
        <w:pStyle w:val="BodyText"/>
        <w:spacing w:before="2"/>
      </w:pPr>
    </w:p>
    <w:p>
      <w:pPr>
        <w:pStyle w:val="BodyText"/>
        <w:ind w:left="838" w:right="123"/>
        <w:jc w:val="both"/>
      </w:pPr>
      <w:r>
        <w:rPr/>
        <w:t>Para efectos de esta Ley, el juicio se inicia con la presentación de la demanda. En materia penal el proceso comienza con la audiencia inicial ante el Juez de control;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ListParagraph"/>
        <w:numPr>
          <w:ilvl w:val="0"/>
          <w:numId w:val="37"/>
        </w:numPr>
        <w:tabs>
          <w:tab w:pos="1070" w:val="left" w:leader="none"/>
        </w:tabs>
        <w:spacing w:line="240" w:lineRule="auto" w:before="0" w:after="0"/>
        <w:ind w:left="838" w:right="116" w:firstLine="0"/>
        <w:jc w:val="both"/>
        <w:rPr>
          <w:sz w:val="20"/>
        </w:rPr>
      </w:pPr>
      <w:r>
        <w:rPr>
          <w:sz w:val="20"/>
        </w:rPr>
        <w:t>Contra sentencias definitivas y resoluciones que pongan fin al juicio dictadas por tribunales de lo contencioso administrativo cuando éstas sean favorables al quejoso, para el único efecto de hacer valer conceptos de violación en contra de las normas generales</w:t>
      </w:r>
      <w:r>
        <w:rPr>
          <w:spacing w:val="-9"/>
          <w:sz w:val="20"/>
        </w:rPr>
        <w:t> </w:t>
      </w:r>
      <w:r>
        <w:rPr>
          <w:sz w:val="20"/>
        </w:rPr>
        <w:t>aplicadas.</w:t>
      </w:r>
    </w:p>
    <w:p>
      <w:pPr>
        <w:pStyle w:val="BodyText"/>
        <w:spacing w:before="2"/>
      </w:pPr>
    </w:p>
    <w:p>
      <w:pPr>
        <w:pStyle w:val="BodyText"/>
        <w:ind w:left="118" w:right="114" w:firstLine="288"/>
        <w:jc w:val="both"/>
      </w:pPr>
      <w:r>
        <w:rP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w:t>
      </w:r>
      <w:r>
        <w:rPr>
          <w:spacing w:val="6"/>
        </w:rPr>
        <w:t>de </w:t>
      </w:r>
      <w:r>
        <w:rPr/>
        <w:t>revisión contencioso administrativa, y únicamente en el caso de que éste sea considerado procedente y fundado, se avocará al estudio de las cuestiones de constitucionalidad planteadas en el juicio de</w:t>
      </w:r>
      <w:r>
        <w:rPr>
          <w:spacing w:val="-34"/>
        </w:rPr>
        <w:t> </w:t>
      </w:r>
      <w:r>
        <w:rPr/>
        <w:t>amparo.</w:t>
      </w:r>
    </w:p>
    <w:p>
      <w:pPr>
        <w:pStyle w:val="BodyText"/>
        <w:spacing w:before="9"/>
        <w:rPr>
          <w:sz w:val="19"/>
        </w:rPr>
      </w:pPr>
    </w:p>
    <w:p>
      <w:pPr>
        <w:pStyle w:val="BodyText"/>
        <w:ind w:left="118" w:right="111" w:firstLine="288"/>
        <w:jc w:val="both"/>
      </w:pPr>
      <w:bookmarkStart w:name="Artículo_171" w:id="171"/>
      <w:bookmarkEnd w:id="171"/>
      <w:r>
        <w:rPr/>
      </w:r>
      <w:r>
        <w:rPr>
          <w:b/>
        </w:rPr>
        <w:t>Artículo 171. </w:t>
      </w:r>
      <w:r>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w:t>
      </w:r>
      <w:r>
        <w:rPr>
          <w:spacing w:val="2"/>
        </w:rPr>
        <w:t>caso,</w:t>
      </w:r>
      <w:r>
        <w:rPr>
          <w:spacing w:val="59"/>
        </w:rPr>
        <w:t> </w:t>
      </w:r>
      <w:r>
        <w:rPr/>
        <w:t>señale la ley ordinaria respectiva y la violación procesal trascienda al resultado del fallo.</w:t>
      </w:r>
    </w:p>
    <w:p>
      <w:pPr>
        <w:pStyle w:val="BodyText"/>
        <w:spacing w:before="3"/>
      </w:pPr>
    </w:p>
    <w:p>
      <w:pPr>
        <w:pStyle w:val="BodyText"/>
        <w:ind w:left="118" w:right="117" w:firstLine="288"/>
        <w:jc w:val="both"/>
      </w:pPr>
      <w:r>
        <w:rP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3" w:firstLine="288"/>
        <w:jc w:val="both"/>
      </w:pPr>
      <w:bookmarkStart w:name="Artículo_172" w:id="172"/>
      <w:bookmarkEnd w:id="172"/>
      <w:r>
        <w:rPr/>
      </w:r>
      <w:r>
        <w:rPr>
          <w:b/>
        </w:rPr>
        <w:t>Artículo 172. </w:t>
      </w:r>
      <w:r>
        <w:rPr/>
        <w:t>En los juicios tramitados ante los tribunales administrativos, civiles, agrarios o del trabajo, se considerarán violadas las leyes del procedimiento y que se afectan las defensas del quejoso, trascendiendo al resultado del fallo, cuando:</w:t>
      </w:r>
    </w:p>
    <w:p>
      <w:pPr>
        <w:pStyle w:val="BodyText"/>
        <w:spacing w:before="4"/>
        <w:rPr>
          <w:sz w:val="19"/>
        </w:rPr>
      </w:pPr>
    </w:p>
    <w:p>
      <w:pPr>
        <w:pStyle w:val="ListParagraph"/>
        <w:numPr>
          <w:ilvl w:val="0"/>
          <w:numId w:val="38"/>
        </w:numPr>
        <w:tabs>
          <w:tab w:pos="1005" w:val="left" w:leader="none"/>
        </w:tabs>
        <w:spacing w:line="240" w:lineRule="auto" w:before="0" w:after="0"/>
        <w:ind w:left="1004" w:right="0" w:hanging="167"/>
        <w:jc w:val="left"/>
        <w:rPr>
          <w:sz w:val="20"/>
        </w:rPr>
      </w:pPr>
      <w:r>
        <w:rPr>
          <w:sz w:val="20"/>
        </w:rPr>
        <w:t>No se le cite al juicio o se le cite en forma distinta de la prevenida por la</w:t>
      </w:r>
      <w:r>
        <w:rPr>
          <w:spacing w:val="-10"/>
          <w:sz w:val="20"/>
        </w:rPr>
        <w:t> </w:t>
      </w:r>
      <w:r>
        <w:rPr>
          <w:sz w:val="20"/>
        </w:rPr>
        <w:t>ley;</w:t>
      </w:r>
    </w:p>
    <w:p>
      <w:pPr>
        <w:pStyle w:val="BodyText"/>
        <w:spacing w:before="1"/>
      </w:pPr>
    </w:p>
    <w:p>
      <w:pPr>
        <w:pStyle w:val="ListParagraph"/>
        <w:numPr>
          <w:ilvl w:val="0"/>
          <w:numId w:val="38"/>
        </w:numPr>
        <w:tabs>
          <w:tab w:pos="1060" w:val="left" w:leader="none"/>
        </w:tabs>
        <w:spacing w:line="240" w:lineRule="auto" w:before="0" w:after="0"/>
        <w:ind w:left="1059" w:right="0" w:hanging="222"/>
        <w:jc w:val="left"/>
        <w:rPr>
          <w:sz w:val="20"/>
        </w:rPr>
      </w:pPr>
      <w:r>
        <w:rPr>
          <w:sz w:val="20"/>
        </w:rPr>
        <w:t>Haya sido falsamente representado en el juicio de que se</w:t>
      </w:r>
      <w:r>
        <w:rPr>
          <w:spacing w:val="-11"/>
          <w:sz w:val="20"/>
        </w:rPr>
        <w:t> </w:t>
      </w:r>
      <w:r>
        <w:rPr>
          <w:sz w:val="20"/>
        </w:rPr>
        <w:t>trate;</w:t>
      </w:r>
    </w:p>
    <w:p>
      <w:pPr>
        <w:pStyle w:val="BodyText"/>
      </w:pPr>
    </w:p>
    <w:p>
      <w:pPr>
        <w:pStyle w:val="ListParagraph"/>
        <w:numPr>
          <w:ilvl w:val="0"/>
          <w:numId w:val="38"/>
        </w:numPr>
        <w:tabs>
          <w:tab w:pos="1115" w:val="left" w:leader="none"/>
        </w:tabs>
        <w:spacing w:line="240" w:lineRule="auto" w:before="1" w:after="0"/>
        <w:ind w:left="1114" w:right="0" w:hanging="277"/>
        <w:jc w:val="left"/>
        <w:rPr>
          <w:sz w:val="20"/>
        </w:rPr>
      </w:pPr>
      <w:r>
        <w:rPr>
          <w:sz w:val="20"/>
        </w:rPr>
        <w:t>Se desechen las pruebas legalmente ofrecidas o se desahoguen en forma contraria a la</w:t>
      </w:r>
      <w:r>
        <w:rPr>
          <w:spacing w:val="-18"/>
          <w:sz w:val="20"/>
        </w:rPr>
        <w:t> </w:t>
      </w:r>
      <w:r>
        <w:rPr>
          <w:sz w:val="20"/>
        </w:rPr>
        <w:t>ley;</w:t>
      </w:r>
    </w:p>
    <w:p>
      <w:pPr>
        <w:pStyle w:val="BodyText"/>
        <w:spacing w:before="9"/>
        <w:rPr>
          <w:sz w:val="19"/>
        </w:rPr>
      </w:pPr>
    </w:p>
    <w:p>
      <w:pPr>
        <w:pStyle w:val="ListParagraph"/>
        <w:numPr>
          <w:ilvl w:val="0"/>
          <w:numId w:val="38"/>
        </w:numPr>
        <w:tabs>
          <w:tab w:pos="1139" w:val="left" w:leader="none"/>
        </w:tabs>
        <w:spacing w:line="240" w:lineRule="auto" w:before="1" w:after="0"/>
        <w:ind w:left="1138" w:right="0" w:hanging="301"/>
        <w:jc w:val="left"/>
        <w:rPr>
          <w:sz w:val="20"/>
        </w:rPr>
      </w:pPr>
      <w:r>
        <w:rPr>
          <w:sz w:val="20"/>
        </w:rPr>
        <w:t>Se declare ilegalmente confeso al quejoso, a su representante o</w:t>
      </w:r>
      <w:r>
        <w:rPr>
          <w:spacing w:val="-4"/>
          <w:sz w:val="20"/>
        </w:rPr>
        <w:t> </w:t>
      </w:r>
      <w:r>
        <w:rPr>
          <w:sz w:val="20"/>
        </w:rPr>
        <w:t>apoderado;</w:t>
      </w:r>
    </w:p>
    <w:p>
      <w:pPr>
        <w:pStyle w:val="BodyText"/>
      </w:pPr>
    </w:p>
    <w:p>
      <w:pPr>
        <w:pStyle w:val="ListParagraph"/>
        <w:numPr>
          <w:ilvl w:val="0"/>
          <w:numId w:val="38"/>
        </w:numPr>
        <w:tabs>
          <w:tab w:pos="1082" w:val="left" w:leader="none"/>
        </w:tabs>
        <w:spacing w:line="240" w:lineRule="auto" w:before="0" w:after="0"/>
        <w:ind w:left="1081" w:right="0" w:hanging="244"/>
        <w:jc w:val="left"/>
        <w:rPr>
          <w:sz w:val="20"/>
        </w:rPr>
      </w:pPr>
      <w:r>
        <w:rPr>
          <w:sz w:val="20"/>
        </w:rPr>
        <w:t>Se deseche o resuelva ilegalmente un incidente de</w:t>
      </w:r>
      <w:r>
        <w:rPr>
          <w:spacing w:val="-4"/>
          <w:sz w:val="20"/>
        </w:rPr>
        <w:t> </w:t>
      </w:r>
      <w:r>
        <w:rPr>
          <w:sz w:val="20"/>
        </w:rPr>
        <w:t>nulidad;</w:t>
      </w:r>
    </w:p>
    <w:p>
      <w:pPr>
        <w:pStyle w:val="BodyText"/>
        <w:spacing w:before="2"/>
      </w:pPr>
    </w:p>
    <w:p>
      <w:pPr>
        <w:pStyle w:val="ListParagraph"/>
        <w:numPr>
          <w:ilvl w:val="0"/>
          <w:numId w:val="38"/>
        </w:numPr>
        <w:tabs>
          <w:tab w:pos="1137" w:val="left" w:leader="none"/>
        </w:tabs>
        <w:spacing w:line="240" w:lineRule="auto" w:before="0" w:after="0"/>
        <w:ind w:left="1136" w:right="0" w:hanging="299"/>
        <w:jc w:val="left"/>
        <w:rPr>
          <w:sz w:val="20"/>
        </w:rPr>
      </w:pPr>
      <w:r>
        <w:rPr>
          <w:sz w:val="20"/>
        </w:rPr>
        <w:t>No se le concedan los plazos o prórrogas a que tenga derecho con arreglo a la</w:t>
      </w:r>
      <w:r>
        <w:rPr>
          <w:spacing w:val="-13"/>
          <w:sz w:val="20"/>
        </w:rPr>
        <w:t> </w:t>
      </w:r>
      <w:r>
        <w:rPr>
          <w:sz w:val="20"/>
        </w:rPr>
        <w:t>ley;</w:t>
      </w:r>
    </w:p>
    <w:p>
      <w:pPr>
        <w:pStyle w:val="BodyText"/>
        <w:spacing w:before="10"/>
        <w:rPr>
          <w:sz w:val="19"/>
        </w:rPr>
      </w:pPr>
    </w:p>
    <w:p>
      <w:pPr>
        <w:pStyle w:val="ListParagraph"/>
        <w:numPr>
          <w:ilvl w:val="0"/>
          <w:numId w:val="38"/>
        </w:numPr>
        <w:tabs>
          <w:tab w:pos="1194" w:val="left" w:leader="none"/>
        </w:tabs>
        <w:spacing w:line="240" w:lineRule="auto" w:before="0" w:after="0"/>
        <w:ind w:left="1194" w:right="0" w:hanging="356"/>
        <w:jc w:val="left"/>
        <w:rPr>
          <w:sz w:val="20"/>
        </w:rPr>
      </w:pPr>
      <w:r>
        <w:rPr>
          <w:sz w:val="20"/>
        </w:rPr>
        <w:t>Sin su culpa se reciban, sin su conocimiento, las pruebas ofrecidas por las otras</w:t>
      </w:r>
      <w:r>
        <w:rPr>
          <w:spacing w:val="-10"/>
          <w:sz w:val="20"/>
        </w:rPr>
        <w:t> </w:t>
      </w:r>
      <w:r>
        <w:rPr>
          <w:sz w:val="20"/>
        </w:rPr>
        <w:t>partes;</w:t>
      </w:r>
    </w:p>
    <w:p>
      <w:pPr>
        <w:pStyle w:val="BodyText"/>
      </w:pPr>
    </w:p>
    <w:p>
      <w:pPr>
        <w:pStyle w:val="ListParagraph"/>
        <w:numPr>
          <w:ilvl w:val="0"/>
          <w:numId w:val="38"/>
        </w:numPr>
        <w:tabs>
          <w:tab w:pos="1266" w:val="left" w:leader="none"/>
        </w:tabs>
        <w:spacing w:line="242" w:lineRule="auto" w:before="1" w:after="0"/>
        <w:ind w:left="838" w:right="126" w:firstLine="0"/>
        <w:jc w:val="both"/>
        <w:rPr>
          <w:sz w:val="20"/>
        </w:rPr>
      </w:pPr>
      <w:r>
        <w:rPr>
          <w:sz w:val="20"/>
        </w:rPr>
        <w:t>Previa solicitud, no se le muestren documentos o piezas de autos para poder alegar sobre ellos;</w:t>
      </w:r>
    </w:p>
    <w:p>
      <w:pPr>
        <w:pStyle w:val="BodyText"/>
        <w:spacing w:before="5"/>
        <w:rPr>
          <w:sz w:val="19"/>
        </w:rPr>
      </w:pPr>
    </w:p>
    <w:p>
      <w:pPr>
        <w:pStyle w:val="ListParagraph"/>
        <w:numPr>
          <w:ilvl w:val="0"/>
          <w:numId w:val="38"/>
        </w:numPr>
        <w:tabs>
          <w:tab w:pos="1192" w:val="left" w:leader="none"/>
        </w:tabs>
        <w:spacing w:line="242" w:lineRule="auto" w:before="0" w:after="0"/>
        <w:ind w:left="838" w:right="124" w:firstLine="0"/>
        <w:jc w:val="both"/>
        <w:rPr>
          <w:sz w:val="20"/>
        </w:rPr>
      </w:pPr>
      <w:r>
        <w:rPr>
          <w:sz w:val="20"/>
        </w:rPr>
        <w:t>Se le desechen recursos, respecto de providencias que afecten partes sustanciales</w:t>
      </w:r>
      <w:r>
        <w:rPr>
          <w:spacing w:val="21"/>
          <w:sz w:val="20"/>
        </w:rPr>
        <w:t> </w:t>
      </w:r>
      <w:r>
        <w:rPr>
          <w:sz w:val="20"/>
        </w:rPr>
        <w:t>del procedimiento que produzcan estado de indefensión;</w:t>
      </w:r>
    </w:p>
    <w:p>
      <w:pPr>
        <w:pStyle w:val="BodyText"/>
        <w:spacing w:before="8"/>
        <w:rPr>
          <w:sz w:val="19"/>
        </w:rPr>
      </w:pPr>
    </w:p>
    <w:p>
      <w:pPr>
        <w:pStyle w:val="ListParagraph"/>
        <w:numPr>
          <w:ilvl w:val="0"/>
          <w:numId w:val="38"/>
        </w:numPr>
        <w:tabs>
          <w:tab w:pos="1091" w:val="left" w:leader="none"/>
        </w:tabs>
        <w:spacing w:line="242" w:lineRule="auto" w:before="0" w:after="0"/>
        <w:ind w:left="838" w:right="125" w:firstLine="0"/>
        <w:jc w:val="both"/>
        <w:rPr>
          <w:sz w:val="20"/>
        </w:rPr>
      </w:pPr>
      <w:r>
        <w:rPr>
          <w:sz w:val="20"/>
        </w:rPr>
        <w:t>Se continúe el procedimiento después de haberse promovido una competencia, o la autoridad impedida o recusada, continúe conociendo del juicio, salvo los casos en que la ley expresamente la faculte para</w:t>
      </w:r>
      <w:r>
        <w:rPr>
          <w:spacing w:val="-4"/>
          <w:sz w:val="20"/>
        </w:rPr>
        <w:t> </w:t>
      </w:r>
      <w:r>
        <w:rPr>
          <w:sz w:val="20"/>
        </w:rPr>
        <w:t>ello;</w:t>
      </w:r>
    </w:p>
    <w:p>
      <w:pPr>
        <w:pStyle w:val="BodyText"/>
        <w:spacing w:before="5"/>
        <w:rPr>
          <w:sz w:val="19"/>
        </w:rPr>
      </w:pPr>
    </w:p>
    <w:p>
      <w:pPr>
        <w:pStyle w:val="ListParagraph"/>
        <w:numPr>
          <w:ilvl w:val="0"/>
          <w:numId w:val="38"/>
        </w:numPr>
        <w:tabs>
          <w:tab w:pos="1202" w:val="left" w:leader="none"/>
        </w:tabs>
        <w:spacing w:line="242" w:lineRule="auto" w:before="0" w:after="0"/>
        <w:ind w:left="838" w:right="122" w:firstLine="0"/>
        <w:jc w:val="both"/>
        <w:rPr>
          <w:sz w:val="20"/>
        </w:rPr>
      </w:pPr>
      <w:r>
        <w:rPr>
          <w:sz w:val="20"/>
        </w:rPr>
        <w:t>Se desarrolle cualquier audiencia sin la presencia del juez o se practiquen diligencias judiciales de forma distinta a la prevenida por la ley;</w:t>
      </w:r>
      <w:r>
        <w:rPr>
          <w:spacing w:val="2"/>
          <w:sz w:val="20"/>
        </w:rPr>
        <w:t> </w:t>
      </w:r>
      <w:r>
        <w:rPr>
          <w:sz w:val="20"/>
        </w:rPr>
        <w:t>y</w:t>
      </w:r>
    </w:p>
    <w:p>
      <w:pPr>
        <w:pStyle w:val="BodyText"/>
        <w:spacing w:before="8"/>
        <w:rPr>
          <w:sz w:val="19"/>
        </w:rPr>
      </w:pPr>
    </w:p>
    <w:p>
      <w:pPr>
        <w:pStyle w:val="ListParagraph"/>
        <w:numPr>
          <w:ilvl w:val="0"/>
          <w:numId w:val="38"/>
        </w:numPr>
        <w:tabs>
          <w:tab w:pos="1194" w:val="left" w:leader="none"/>
        </w:tabs>
        <w:spacing w:line="240" w:lineRule="auto" w:before="0" w:after="0"/>
        <w:ind w:left="838" w:right="126" w:firstLine="0"/>
        <w:jc w:val="left"/>
        <w:rPr>
          <w:sz w:val="20"/>
        </w:rPr>
      </w:pPr>
      <w:r>
        <w:rPr>
          <w:sz w:val="20"/>
        </w:rPr>
        <w:t>Se trate de casos análogos a los previstos en las fracciones anteriores a juicio de los órganos jurisdiccionales de amparo.</w:t>
      </w:r>
    </w:p>
    <w:p>
      <w:pPr>
        <w:pStyle w:val="BodyText"/>
        <w:spacing w:before="10"/>
        <w:rPr>
          <w:sz w:val="19"/>
        </w:rPr>
      </w:pPr>
    </w:p>
    <w:p>
      <w:pPr>
        <w:pStyle w:val="BodyText"/>
        <w:spacing w:line="242" w:lineRule="auto"/>
        <w:ind w:left="118" w:right="126" w:firstLine="288"/>
        <w:jc w:val="both"/>
      </w:pPr>
      <w:bookmarkStart w:name="Artículo_173" w:id="173"/>
      <w:bookmarkEnd w:id="173"/>
      <w:r>
        <w:rPr/>
      </w:r>
      <w:r>
        <w:rPr>
          <w:b/>
        </w:rPr>
        <w:t>Artículo 173. </w:t>
      </w:r>
      <w:r>
        <w:rPr/>
        <w:t>En los juicios del orden penal se considerarán violadas las leyes del procedimiento con trascendencia a las defensas del quejoso, cuando:</w:t>
      </w:r>
    </w:p>
    <w:p>
      <w:pPr>
        <w:pStyle w:val="BodyText"/>
        <w:spacing w:before="8"/>
        <w:rPr>
          <w:sz w:val="19"/>
        </w:rPr>
      </w:pPr>
    </w:p>
    <w:p>
      <w:pPr>
        <w:pStyle w:val="Heading2"/>
      </w:pPr>
      <w:r>
        <w:rPr/>
        <w:t>Apartado </w:t>
      </w:r>
      <w:r>
        <w:rPr>
          <w:spacing w:val="-3"/>
        </w:rPr>
        <w:t>A. </w:t>
      </w:r>
      <w:r>
        <w:rPr/>
        <w:t>Sistema de Justicia Penal</w:t>
      </w:r>
      <w:r>
        <w:rPr>
          <w:spacing w:val="-2"/>
        </w:rPr>
        <w:t> </w:t>
      </w:r>
      <w:r>
        <w:rPr/>
        <w:t>Mixto</w:t>
      </w:r>
    </w:p>
    <w:p>
      <w:pPr>
        <w:pStyle w:val="BodyText"/>
        <w:spacing w:before="10"/>
        <w:rPr>
          <w:b/>
          <w:sz w:val="19"/>
        </w:rPr>
      </w:pPr>
    </w:p>
    <w:p>
      <w:pPr>
        <w:pStyle w:val="ListParagraph"/>
        <w:numPr>
          <w:ilvl w:val="0"/>
          <w:numId w:val="39"/>
        </w:numPr>
        <w:tabs>
          <w:tab w:pos="1089" w:val="left" w:leader="none"/>
        </w:tabs>
        <w:spacing w:line="242" w:lineRule="auto" w:before="0" w:after="0"/>
        <w:ind w:left="1088" w:right="117" w:hanging="682"/>
        <w:jc w:val="both"/>
        <w:rPr>
          <w:sz w:val="20"/>
        </w:rPr>
      </w:pPr>
      <w:r>
        <w:rPr>
          <w:sz w:val="20"/>
        </w:rPr>
        <w:t>No se le haga saber el motivo del procedimiento o </w:t>
      </w:r>
      <w:r>
        <w:rPr>
          <w:spacing w:val="3"/>
          <w:sz w:val="20"/>
        </w:rPr>
        <w:t>la </w:t>
      </w:r>
      <w:r>
        <w:rPr>
          <w:sz w:val="20"/>
        </w:rPr>
        <w:t>causa de la acusación y el nombre del acusador particular si lo</w:t>
      </w:r>
      <w:r>
        <w:rPr>
          <w:spacing w:val="-2"/>
          <w:sz w:val="20"/>
        </w:rPr>
        <w:t> </w:t>
      </w:r>
      <w:r>
        <w:rPr>
          <w:sz w:val="20"/>
        </w:rPr>
        <w:t>hubiere;</w:t>
      </w:r>
    </w:p>
    <w:p>
      <w:pPr>
        <w:pStyle w:val="BodyText"/>
        <w:spacing w:before="8"/>
        <w:rPr>
          <w:sz w:val="19"/>
        </w:rPr>
      </w:pPr>
    </w:p>
    <w:p>
      <w:pPr>
        <w:pStyle w:val="ListParagraph"/>
        <w:numPr>
          <w:ilvl w:val="0"/>
          <w:numId w:val="39"/>
        </w:numPr>
        <w:tabs>
          <w:tab w:pos="1089" w:val="left" w:leader="none"/>
        </w:tabs>
        <w:spacing w:line="240" w:lineRule="auto" w:before="1" w:after="0"/>
        <w:ind w:left="1088" w:right="114" w:hanging="682"/>
        <w:jc w:val="both"/>
        <w:rPr>
          <w:sz w:val="20"/>
        </w:rPr>
      </w:pPr>
      <w:r>
        <w:rPr>
          <w:sz w:val="20"/>
        </w:rPr>
        <w:t>No se le permita nombrar defensor, en la forma que determine la ley; cuando no se le haga saber el nombre del adscrito al juzgado o tribunal que conozca de la causa, si no tuviere quien lo defienda; cuando no se le facilite la manera de hacer saber su nombramiento al defensor designado; cuando se le impida comunicarse con él o que dicho defensor lo asista en alguna diligencia del proceso, o cuando, habiéndose negado a nombrar defensor, sin manifestar expresamente que se defenderá por sí mismo, no se le nombre de</w:t>
      </w:r>
      <w:r>
        <w:rPr>
          <w:spacing w:val="-10"/>
          <w:sz w:val="20"/>
        </w:rPr>
        <w:t> </w:t>
      </w:r>
      <w:r>
        <w:rPr>
          <w:sz w:val="20"/>
        </w:rPr>
        <w:t>oficio;</w:t>
      </w:r>
    </w:p>
    <w:p>
      <w:pPr>
        <w:pStyle w:val="BodyText"/>
      </w:pPr>
    </w:p>
    <w:p>
      <w:pPr>
        <w:pStyle w:val="ListParagraph"/>
        <w:numPr>
          <w:ilvl w:val="0"/>
          <w:numId w:val="39"/>
        </w:numPr>
        <w:tabs>
          <w:tab w:pos="1089" w:val="left" w:leader="none"/>
        </w:tabs>
        <w:spacing w:line="240" w:lineRule="auto" w:before="1" w:after="0"/>
        <w:ind w:left="1088" w:right="122" w:hanging="682"/>
        <w:jc w:val="both"/>
        <w:rPr>
          <w:sz w:val="20"/>
        </w:rPr>
      </w:pPr>
      <w:r>
        <w:rPr>
          <w:sz w:val="20"/>
        </w:rPr>
        <w:t>Habiéndolo solicitado no se le caree, en presencia del juez, en los supuestos y términos que establezca la</w:t>
      </w:r>
      <w:r>
        <w:rPr>
          <w:spacing w:val="1"/>
          <w:sz w:val="20"/>
        </w:rPr>
        <w:t> </w:t>
      </w:r>
      <w:r>
        <w:rPr>
          <w:sz w:val="20"/>
        </w:rPr>
        <w:t>ley;</w:t>
      </w:r>
    </w:p>
    <w:p>
      <w:pPr>
        <w:spacing w:after="0" w:line="240" w:lineRule="auto"/>
        <w:jc w:val="both"/>
        <w:rPr>
          <w:sz w:val="20"/>
        </w:rPr>
        <w:sectPr>
          <w:pgSz w:w="12240" w:h="15840"/>
          <w:pgMar w:header="708" w:footer="712" w:top="1760" w:bottom="900" w:left="1300" w:right="1300"/>
        </w:sectPr>
      </w:pPr>
    </w:p>
    <w:p>
      <w:pPr>
        <w:pStyle w:val="BodyText"/>
        <w:spacing w:before="5"/>
        <w:rPr>
          <w:sz w:val="27"/>
        </w:rPr>
      </w:pPr>
    </w:p>
    <w:p>
      <w:pPr>
        <w:pStyle w:val="ListParagraph"/>
        <w:numPr>
          <w:ilvl w:val="0"/>
          <w:numId w:val="39"/>
        </w:numPr>
        <w:tabs>
          <w:tab w:pos="1089" w:val="left" w:leader="none"/>
        </w:tabs>
        <w:spacing w:line="242" w:lineRule="auto" w:before="93" w:after="0"/>
        <w:ind w:left="1088" w:right="119" w:hanging="682"/>
        <w:jc w:val="both"/>
        <w:rPr>
          <w:sz w:val="20"/>
        </w:rPr>
      </w:pPr>
      <w:r>
        <w:rPr>
          <w:sz w:val="20"/>
        </w:rPr>
        <w:t>El juez no actúe con secretario o con testigos de asistencia, o cuando se practiquen diligencias en forma distinta de la prevenida por la</w:t>
      </w:r>
      <w:r>
        <w:rPr>
          <w:spacing w:val="-6"/>
          <w:sz w:val="20"/>
        </w:rPr>
        <w:t> </w:t>
      </w:r>
      <w:r>
        <w:rPr>
          <w:sz w:val="20"/>
        </w:rPr>
        <w:t>ley;</w:t>
      </w:r>
    </w:p>
    <w:p>
      <w:pPr>
        <w:pStyle w:val="BodyText"/>
        <w:spacing w:before="8"/>
        <w:rPr>
          <w:sz w:val="19"/>
        </w:rPr>
      </w:pPr>
    </w:p>
    <w:p>
      <w:pPr>
        <w:pStyle w:val="ListParagraph"/>
        <w:numPr>
          <w:ilvl w:val="0"/>
          <w:numId w:val="39"/>
        </w:numPr>
        <w:tabs>
          <w:tab w:pos="1089" w:val="left" w:leader="none"/>
        </w:tabs>
        <w:spacing w:line="240" w:lineRule="auto" w:before="0" w:after="0"/>
        <w:ind w:left="1088" w:right="119" w:hanging="682"/>
        <w:jc w:val="both"/>
        <w:rPr>
          <w:sz w:val="20"/>
        </w:rPr>
      </w:pPr>
      <w:r>
        <w:rPr>
          <w:sz w:val="20"/>
        </w:rPr>
        <w:t>No se le cite para las diligencias que tenga derecho a presenciar o cuando sea citado en forma ilegal, siempre que por ello no comparezca; cuando no se le admita en el acto de la diligencia, o cuando se le coarten en ella los derechos que la ley le</w:t>
      </w:r>
      <w:r>
        <w:rPr>
          <w:spacing w:val="-9"/>
          <w:sz w:val="20"/>
        </w:rPr>
        <w:t> </w:t>
      </w:r>
      <w:r>
        <w:rPr>
          <w:sz w:val="20"/>
        </w:rPr>
        <w:t>otorga;</w:t>
      </w:r>
    </w:p>
    <w:p>
      <w:pPr>
        <w:pStyle w:val="BodyText"/>
        <w:spacing w:before="11"/>
        <w:rPr>
          <w:sz w:val="19"/>
        </w:rPr>
      </w:pPr>
    </w:p>
    <w:p>
      <w:pPr>
        <w:pStyle w:val="ListParagraph"/>
        <w:numPr>
          <w:ilvl w:val="0"/>
          <w:numId w:val="39"/>
        </w:numPr>
        <w:tabs>
          <w:tab w:pos="1089" w:val="left" w:leader="none"/>
        </w:tabs>
        <w:spacing w:line="240" w:lineRule="auto" w:before="0" w:after="0"/>
        <w:ind w:left="1088" w:right="118" w:hanging="682"/>
        <w:jc w:val="both"/>
        <w:rPr>
          <w:sz w:val="20"/>
        </w:rPr>
      </w:pPr>
      <w:r>
        <w:rPr>
          <w:sz w:val="20"/>
        </w:rPr>
        <w:t>No se respete al imputado el derecho a declarar o a guardar silencio, la declaración del imputado se obtenga mediante incomunicación, intimidación, tortura o sin presencia de su defensor o cuando el ejercicio del derecho a guardar silencio se utilice en su</w:t>
      </w:r>
      <w:r>
        <w:rPr>
          <w:spacing w:val="-18"/>
          <w:sz w:val="20"/>
        </w:rPr>
        <w:t> </w:t>
      </w:r>
      <w:r>
        <w:rPr>
          <w:sz w:val="20"/>
        </w:rPr>
        <w:t>perjuicio;</w:t>
      </w:r>
    </w:p>
    <w:p>
      <w:pPr>
        <w:pStyle w:val="BodyText"/>
        <w:spacing w:before="11"/>
        <w:rPr>
          <w:sz w:val="19"/>
        </w:rPr>
      </w:pPr>
    </w:p>
    <w:p>
      <w:pPr>
        <w:pStyle w:val="ListParagraph"/>
        <w:numPr>
          <w:ilvl w:val="0"/>
          <w:numId w:val="39"/>
        </w:numPr>
        <w:tabs>
          <w:tab w:pos="1089" w:val="left" w:leader="none"/>
        </w:tabs>
        <w:spacing w:line="242" w:lineRule="auto" w:before="0" w:after="0"/>
        <w:ind w:left="1088" w:right="124" w:hanging="682"/>
        <w:jc w:val="both"/>
        <w:rPr>
          <w:sz w:val="20"/>
        </w:rPr>
      </w:pPr>
      <w:r>
        <w:rPr>
          <w:sz w:val="20"/>
        </w:rPr>
        <w:t>No se le reciban las pruebas que ofrezca legalmente, o cuando no se reciban con arreglo a derecho;</w:t>
      </w:r>
    </w:p>
    <w:p>
      <w:pPr>
        <w:pStyle w:val="BodyText"/>
        <w:spacing w:before="8"/>
        <w:rPr>
          <w:sz w:val="19"/>
        </w:rPr>
      </w:pPr>
    </w:p>
    <w:p>
      <w:pPr>
        <w:pStyle w:val="ListParagraph"/>
        <w:numPr>
          <w:ilvl w:val="0"/>
          <w:numId w:val="39"/>
        </w:numPr>
        <w:tabs>
          <w:tab w:pos="1089" w:val="left" w:leader="none"/>
        </w:tabs>
        <w:spacing w:line="240" w:lineRule="auto" w:before="0" w:after="0"/>
        <w:ind w:left="1088" w:right="124" w:hanging="682"/>
        <w:jc w:val="both"/>
        <w:rPr>
          <w:sz w:val="20"/>
        </w:rPr>
      </w:pPr>
      <w:r>
        <w:rPr>
          <w:sz w:val="20"/>
        </w:rPr>
        <w:t>Se le desechen los recursos que tuviere conforme a la ley, respecto de providencias que afecten partes substanciales del procedimiento y produzcan indefensión de acuerdo con las demás fracciones de este mismo</w:t>
      </w:r>
      <w:r>
        <w:rPr>
          <w:spacing w:val="-5"/>
          <w:sz w:val="20"/>
        </w:rPr>
        <w:t> </w:t>
      </w:r>
      <w:r>
        <w:rPr>
          <w:sz w:val="20"/>
        </w:rPr>
        <w:t>artículo;</w:t>
      </w:r>
    </w:p>
    <w:p>
      <w:pPr>
        <w:pStyle w:val="BodyText"/>
      </w:pPr>
    </w:p>
    <w:p>
      <w:pPr>
        <w:pStyle w:val="ListParagraph"/>
        <w:numPr>
          <w:ilvl w:val="0"/>
          <w:numId w:val="39"/>
        </w:numPr>
        <w:tabs>
          <w:tab w:pos="1088" w:val="left" w:leader="none"/>
          <w:tab w:pos="1089" w:val="left" w:leader="none"/>
        </w:tabs>
        <w:spacing w:line="240" w:lineRule="auto" w:before="0" w:after="0"/>
        <w:ind w:left="1088" w:right="0" w:hanging="683"/>
        <w:jc w:val="left"/>
        <w:rPr>
          <w:sz w:val="20"/>
        </w:rPr>
      </w:pPr>
      <w:r>
        <w:rPr>
          <w:sz w:val="20"/>
        </w:rPr>
        <w:t>No se le suministren los datos que necesite para su</w:t>
      </w:r>
      <w:r>
        <w:rPr>
          <w:spacing w:val="-4"/>
          <w:sz w:val="20"/>
        </w:rPr>
        <w:t> </w:t>
      </w:r>
      <w:r>
        <w:rPr>
          <w:sz w:val="20"/>
        </w:rPr>
        <w:t>defensa;</w:t>
      </w:r>
    </w:p>
    <w:p>
      <w:pPr>
        <w:pStyle w:val="BodyText"/>
      </w:pPr>
    </w:p>
    <w:p>
      <w:pPr>
        <w:pStyle w:val="ListParagraph"/>
        <w:numPr>
          <w:ilvl w:val="0"/>
          <w:numId w:val="39"/>
        </w:numPr>
        <w:tabs>
          <w:tab w:pos="1089" w:val="left" w:leader="none"/>
        </w:tabs>
        <w:spacing w:line="240" w:lineRule="auto" w:before="1" w:after="0"/>
        <w:ind w:left="1088" w:right="125" w:hanging="682"/>
        <w:jc w:val="both"/>
        <w:rPr>
          <w:sz w:val="20"/>
        </w:rPr>
      </w:pPr>
      <w:r>
        <w:rPr>
          <w:sz w:val="20"/>
        </w:rPr>
        <w:t>Se celebre la audiencia de derecho sin la asistencia del Agente del Ministerio Público a quien corresponda formular la requisitoria, sin la del juez que deba fallar o la del secretario o testigos de asistencia que deban autorizar el acto, así como el</w:t>
      </w:r>
      <w:r>
        <w:rPr>
          <w:spacing w:val="-6"/>
          <w:sz w:val="20"/>
        </w:rPr>
        <w:t> </w:t>
      </w:r>
      <w:r>
        <w:rPr>
          <w:sz w:val="20"/>
        </w:rPr>
        <w:t>defensor;</w:t>
      </w:r>
    </w:p>
    <w:p>
      <w:pPr>
        <w:pStyle w:val="BodyText"/>
        <w:spacing w:before="10"/>
        <w:rPr>
          <w:sz w:val="19"/>
        </w:rPr>
      </w:pPr>
    </w:p>
    <w:p>
      <w:pPr>
        <w:pStyle w:val="ListParagraph"/>
        <w:numPr>
          <w:ilvl w:val="0"/>
          <w:numId w:val="39"/>
        </w:numPr>
        <w:tabs>
          <w:tab w:pos="1089" w:val="left" w:leader="none"/>
        </w:tabs>
        <w:spacing w:line="242" w:lineRule="auto" w:before="0" w:after="0"/>
        <w:ind w:left="1088" w:right="123" w:hanging="682"/>
        <w:jc w:val="both"/>
        <w:rPr>
          <w:sz w:val="20"/>
        </w:rPr>
      </w:pPr>
      <w:r>
        <w:rPr>
          <w:sz w:val="20"/>
        </w:rPr>
        <w:t>La sentencia se funde en la confesión del reo, si estuvo incomunicado antes de otorgarla, o si se obtuvo su declaración por medio de intimidación, tortura o de cualquiera otra</w:t>
      </w:r>
      <w:r>
        <w:rPr>
          <w:spacing w:val="-19"/>
          <w:sz w:val="20"/>
        </w:rPr>
        <w:t> </w:t>
      </w:r>
      <w:r>
        <w:rPr>
          <w:sz w:val="20"/>
        </w:rPr>
        <w:t>coacción;</w:t>
      </w:r>
    </w:p>
    <w:p>
      <w:pPr>
        <w:pStyle w:val="BodyText"/>
        <w:spacing w:before="6"/>
        <w:rPr>
          <w:sz w:val="19"/>
        </w:rPr>
      </w:pPr>
    </w:p>
    <w:p>
      <w:pPr>
        <w:pStyle w:val="ListParagraph"/>
        <w:numPr>
          <w:ilvl w:val="0"/>
          <w:numId w:val="39"/>
        </w:numPr>
        <w:tabs>
          <w:tab w:pos="1088" w:val="left" w:leader="none"/>
          <w:tab w:pos="1089" w:val="left" w:leader="none"/>
        </w:tabs>
        <w:spacing w:line="240" w:lineRule="auto" w:before="0" w:after="0"/>
        <w:ind w:left="1088" w:right="0" w:hanging="683"/>
        <w:jc w:val="left"/>
        <w:rPr>
          <w:sz w:val="20"/>
        </w:rPr>
      </w:pPr>
      <w:r>
        <w:rPr>
          <w:sz w:val="20"/>
        </w:rPr>
        <w:t>La sentencia se funde en alguna diligencia cuya nulidad establezca la ley</w:t>
      </w:r>
      <w:r>
        <w:rPr>
          <w:spacing w:val="-13"/>
          <w:sz w:val="20"/>
        </w:rPr>
        <w:t> </w:t>
      </w:r>
      <w:r>
        <w:rPr>
          <w:sz w:val="20"/>
        </w:rPr>
        <w:t>expresamente;</w:t>
      </w:r>
    </w:p>
    <w:p>
      <w:pPr>
        <w:pStyle w:val="BodyText"/>
        <w:spacing w:before="1"/>
      </w:pPr>
    </w:p>
    <w:p>
      <w:pPr>
        <w:pStyle w:val="ListParagraph"/>
        <w:numPr>
          <w:ilvl w:val="0"/>
          <w:numId w:val="39"/>
        </w:numPr>
        <w:tabs>
          <w:tab w:pos="1089" w:val="left" w:leader="none"/>
        </w:tabs>
        <w:spacing w:line="242" w:lineRule="auto" w:before="0" w:after="0"/>
        <w:ind w:left="1088" w:right="123" w:hanging="682"/>
        <w:jc w:val="both"/>
        <w:rPr>
          <w:sz w:val="20"/>
        </w:rPr>
      </w:pPr>
      <w:r>
        <w:rPr>
          <w:sz w:val="20"/>
        </w:rPr>
        <w:t>Seguido el proceso por el delito determinado en el auto de formal prisión, el quejoso fuere sentenciado por diverso</w:t>
      </w:r>
      <w:r>
        <w:rPr>
          <w:spacing w:val="1"/>
          <w:sz w:val="20"/>
        </w:rPr>
        <w:t> </w:t>
      </w:r>
      <w:r>
        <w:rPr>
          <w:sz w:val="20"/>
        </w:rPr>
        <w:t>delito;</w:t>
      </w:r>
    </w:p>
    <w:p>
      <w:pPr>
        <w:pStyle w:val="BodyText"/>
        <w:spacing w:before="8"/>
        <w:rPr>
          <w:sz w:val="19"/>
        </w:rPr>
      </w:pPr>
    </w:p>
    <w:p>
      <w:pPr>
        <w:pStyle w:val="BodyText"/>
        <w:spacing w:before="1"/>
        <w:ind w:left="1088" w:right="117"/>
        <w:jc w:val="both"/>
      </w:pPr>
      <w:r>
        <w:rPr/>
        <w:t>No se considerará que el delito es diverso cuando el que se exprese en la sentencia solo difiera en grado del que haya sido materia del proceso, ni cuando se refiera a los mismos hechos materiales que fueron objeto de la averiguación siempre que, en este último caso el Ministerio Público haya formulado conclusiones acusatorias cambiando la clasificación del delito hecha en el auto de formal prisión o de sujeción a proceso, y que el quejoso hubiese sido oído en defensa sobre la nueva clasificación, durante el juicio propiamente tal,</w:t>
      </w:r>
      <w:r>
        <w:rPr>
          <w:spacing w:val="-8"/>
        </w:rPr>
        <w:t> </w:t>
      </w:r>
      <w:r>
        <w:rPr/>
        <w:t>y</w:t>
      </w:r>
    </w:p>
    <w:p>
      <w:pPr>
        <w:pStyle w:val="BodyText"/>
        <w:spacing w:before="9"/>
        <w:rPr>
          <w:sz w:val="19"/>
        </w:rPr>
      </w:pPr>
    </w:p>
    <w:p>
      <w:pPr>
        <w:pStyle w:val="ListParagraph"/>
        <w:numPr>
          <w:ilvl w:val="0"/>
          <w:numId w:val="39"/>
        </w:numPr>
        <w:tabs>
          <w:tab w:pos="1089" w:val="left" w:leader="none"/>
        </w:tabs>
        <w:spacing w:line="242" w:lineRule="auto" w:before="0" w:after="0"/>
        <w:ind w:left="1088" w:right="119" w:hanging="682"/>
        <w:jc w:val="both"/>
        <w:rPr>
          <w:sz w:val="20"/>
        </w:rPr>
      </w:pPr>
      <w:r>
        <w:rPr>
          <w:sz w:val="20"/>
        </w:rPr>
        <w:t>En los demás casos análogos a los de las fracciones anteriores, a juicio del órgano jurisdiccional de</w:t>
      </w:r>
      <w:r>
        <w:rPr>
          <w:spacing w:val="-2"/>
          <w:sz w:val="20"/>
        </w:rPr>
        <w:t> </w:t>
      </w:r>
      <w:r>
        <w:rPr>
          <w:sz w:val="20"/>
        </w:rPr>
        <w:t>amparo.</w:t>
      </w:r>
    </w:p>
    <w:p>
      <w:pPr>
        <w:spacing w:line="181" w:lineRule="exact" w:before="0"/>
        <w:ind w:left="6023" w:right="0" w:firstLine="0"/>
        <w:jc w:val="left"/>
        <w:rPr>
          <w:rFonts w:ascii="Times New Roman"/>
          <w:i/>
          <w:sz w:val="16"/>
        </w:rPr>
      </w:pPr>
      <w:r>
        <w:rPr>
          <w:rFonts w:ascii="Times New Roman"/>
          <w:i/>
          <w:color w:val="0000FF"/>
          <w:sz w:val="16"/>
        </w:rPr>
        <w:t>Apartado con fracciones adicionado DOF 17-06-2016</w:t>
      </w:r>
    </w:p>
    <w:p>
      <w:pPr>
        <w:pStyle w:val="BodyText"/>
        <w:spacing w:before="10"/>
        <w:rPr>
          <w:rFonts w:ascii="Times New Roman"/>
          <w:i/>
          <w:sz w:val="11"/>
        </w:rPr>
      </w:pPr>
    </w:p>
    <w:p>
      <w:pPr>
        <w:pStyle w:val="Heading2"/>
        <w:spacing w:before="93"/>
      </w:pPr>
      <w:r>
        <w:rPr/>
        <w:t>Apartado B. Sistema de Justicia Penal Acusatorio y Oral</w:t>
      </w:r>
    </w:p>
    <w:p>
      <w:pPr>
        <w:pStyle w:val="BodyText"/>
        <w:rPr>
          <w:b/>
        </w:rPr>
      </w:pPr>
    </w:p>
    <w:p>
      <w:pPr>
        <w:pStyle w:val="ListParagraph"/>
        <w:numPr>
          <w:ilvl w:val="0"/>
          <w:numId w:val="40"/>
        </w:numPr>
        <w:tabs>
          <w:tab w:pos="1088" w:val="left" w:leader="none"/>
          <w:tab w:pos="1089" w:val="left" w:leader="none"/>
        </w:tabs>
        <w:spacing w:line="242" w:lineRule="auto" w:before="1" w:after="0"/>
        <w:ind w:left="1088" w:right="117" w:hanging="682"/>
        <w:jc w:val="left"/>
        <w:rPr>
          <w:sz w:val="20"/>
        </w:rPr>
      </w:pPr>
      <w:r>
        <w:rPr>
          <w:sz w:val="20"/>
        </w:rPr>
        <w:t>Se desarrolle cualquier audiencia sin la presencia del órgano jurisdiccional actuante o se practique diligencias en forma distinta a la prevenida por la</w:t>
      </w:r>
      <w:r>
        <w:rPr>
          <w:spacing w:val="-7"/>
          <w:sz w:val="20"/>
        </w:rPr>
        <w:t> </w:t>
      </w:r>
      <w:r>
        <w:rPr>
          <w:sz w:val="20"/>
        </w:rPr>
        <w:t>ley;</w:t>
      </w:r>
    </w:p>
    <w:p>
      <w:pPr>
        <w:pStyle w:val="BodyText"/>
        <w:spacing w:before="8"/>
        <w:rPr>
          <w:sz w:val="19"/>
        </w:rPr>
      </w:pPr>
    </w:p>
    <w:p>
      <w:pPr>
        <w:pStyle w:val="ListParagraph"/>
        <w:numPr>
          <w:ilvl w:val="0"/>
          <w:numId w:val="40"/>
        </w:numPr>
        <w:tabs>
          <w:tab w:pos="1088" w:val="left" w:leader="none"/>
          <w:tab w:pos="1089" w:val="left" w:leader="none"/>
        </w:tabs>
        <w:spacing w:line="240" w:lineRule="auto" w:before="0" w:after="0"/>
        <w:ind w:left="1088" w:right="126" w:hanging="682"/>
        <w:jc w:val="left"/>
        <w:rPr>
          <w:sz w:val="20"/>
        </w:rPr>
      </w:pPr>
      <w:r>
        <w:rPr>
          <w:sz w:val="20"/>
        </w:rPr>
        <w:t>El desahogo de pruebas se realice por una persona distinta a la autoridad judicial que deba intervenir;</w:t>
      </w:r>
    </w:p>
    <w:p>
      <w:pPr>
        <w:pStyle w:val="BodyText"/>
        <w:spacing w:before="10"/>
        <w:rPr>
          <w:sz w:val="19"/>
        </w:rPr>
      </w:pPr>
    </w:p>
    <w:p>
      <w:pPr>
        <w:pStyle w:val="ListParagraph"/>
        <w:numPr>
          <w:ilvl w:val="0"/>
          <w:numId w:val="40"/>
        </w:numPr>
        <w:tabs>
          <w:tab w:pos="1088" w:val="left" w:leader="none"/>
          <w:tab w:pos="1089" w:val="left" w:leader="none"/>
        </w:tabs>
        <w:spacing w:line="240" w:lineRule="auto" w:before="0" w:after="0"/>
        <w:ind w:left="1088" w:right="0" w:hanging="683"/>
        <w:jc w:val="left"/>
        <w:rPr>
          <w:sz w:val="20"/>
        </w:rPr>
      </w:pPr>
      <w:r>
        <w:rPr>
          <w:sz w:val="20"/>
        </w:rPr>
        <w:t>Intervenga en el juicio el órgano jurisdiccional que haya conocido del caso</w:t>
      </w:r>
      <w:r>
        <w:rPr>
          <w:spacing w:val="-17"/>
          <w:sz w:val="20"/>
        </w:rPr>
        <w:t> </w:t>
      </w:r>
      <w:r>
        <w:rPr>
          <w:sz w:val="20"/>
        </w:rPr>
        <w:t>previamente;</w:t>
      </w:r>
    </w:p>
    <w:p>
      <w:pPr>
        <w:spacing w:after="0" w:line="240" w:lineRule="auto"/>
        <w:jc w:val="left"/>
        <w:rPr>
          <w:sz w:val="20"/>
        </w:rPr>
        <w:sectPr>
          <w:pgSz w:w="12240" w:h="15840"/>
          <w:pgMar w:header="708" w:footer="712" w:top="1760" w:bottom="900" w:left="1300" w:right="1300"/>
        </w:sectPr>
      </w:pPr>
    </w:p>
    <w:p>
      <w:pPr>
        <w:pStyle w:val="BodyText"/>
        <w:spacing w:before="5"/>
        <w:rPr>
          <w:sz w:val="27"/>
        </w:rPr>
      </w:pPr>
    </w:p>
    <w:p>
      <w:pPr>
        <w:pStyle w:val="ListParagraph"/>
        <w:numPr>
          <w:ilvl w:val="0"/>
          <w:numId w:val="40"/>
        </w:numPr>
        <w:tabs>
          <w:tab w:pos="1089" w:val="left" w:leader="none"/>
        </w:tabs>
        <w:spacing w:line="242" w:lineRule="auto" w:before="93" w:after="0"/>
        <w:ind w:left="1088" w:right="125" w:hanging="682"/>
        <w:jc w:val="both"/>
        <w:rPr>
          <w:sz w:val="20"/>
        </w:rPr>
      </w:pPr>
      <w:r>
        <w:rPr>
          <w:sz w:val="20"/>
        </w:rPr>
        <w:t>La presentación de argumentos y pruebas en el juicio no se realice de manera pública, contradictoria y oral, salvo las excepciones previstas por la legislación procedimental</w:t>
      </w:r>
      <w:r>
        <w:rPr>
          <w:spacing w:val="-22"/>
          <w:sz w:val="20"/>
        </w:rPr>
        <w:t> </w:t>
      </w:r>
      <w:r>
        <w:rPr>
          <w:sz w:val="20"/>
        </w:rPr>
        <w:t>aplicable;</w:t>
      </w:r>
    </w:p>
    <w:p>
      <w:pPr>
        <w:pStyle w:val="BodyText"/>
        <w:spacing w:before="8"/>
        <w:rPr>
          <w:sz w:val="19"/>
        </w:rPr>
      </w:pPr>
    </w:p>
    <w:p>
      <w:pPr>
        <w:pStyle w:val="ListParagraph"/>
        <w:numPr>
          <w:ilvl w:val="0"/>
          <w:numId w:val="40"/>
        </w:numPr>
        <w:tabs>
          <w:tab w:pos="1088" w:val="left" w:leader="none"/>
          <w:tab w:pos="1089" w:val="left" w:leader="none"/>
        </w:tabs>
        <w:spacing w:line="240" w:lineRule="auto" w:before="0" w:after="0"/>
        <w:ind w:left="1088" w:right="123" w:hanging="682"/>
        <w:jc w:val="left"/>
        <w:rPr>
          <w:sz w:val="20"/>
        </w:rPr>
      </w:pPr>
      <w:r>
        <w:rPr>
          <w:sz w:val="20"/>
        </w:rPr>
        <w:t>La oportunidad para sostener la acusación o la defensa no se realice en igualdad de condiciones;</w:t>
      </w:r>
    </w:p>
    <w:p>
      <w:pPr>
        <w:pStyle w:val="BodyText"/>
        <w:spacing w:before="10"/>
        <w:rPr>
          <w:sz w:val="19"/>
        </w:rPr>
      </w:pPr>
    </w:p>
    <w:p>
      <w:pPr>
        <w:pStyle w:val="ListParagraph"/>
        <w:numPr>
          <w:ilvl w:val="0"/>
          <w:numId w:val="40"/>
        </w:numPr>
        <w:tabs>
          <w:tab w:pos="1089" w:val="left" w:leader="none"/>
        </w:tabs>
        <w:spacing w:line="242" w:lineRule="auto" w:before="1" w:after="0"/>
        <w:ind w:left="1088" w:right="115" w:hanging="682"/>
        <w:jc w:val="both"/>
        <w:rPr>
          <w:sz w:val="20"/>
        </w:rPr>
      </w:pPr>
      <w:r>
        <w:rPr>
          <w:sz w:val="20"/>
        </w:rPr>
        <w:t>No se respete al imputado el derecho a declarar o guardar silencio, la declaración del imputado se obtenga mediante incomunicación, intimidación, tortura o sin presencia de su defensor, o cuando el ejercicio del derecho a guardar silencio se utilice en su</w:t>
      </w:r>
      <w:r>
        <w:rPr>
          <w:spacing w:val="-15"/>
          <w:sz w:val="20"/>
        </w:rPr>
        <w:t> </w:t>
      </w:r>
      <w:r>
        <w:rPr>
          <w:sz w:val="20"/>
        </w:rPr>
        <w:t>perjuicio;</w:t>
      </w:r>
    </w:p>
    <w:p>
      <w:pPr>
        <w:pStyle w:val="BodyText"/>
        <w:spacing w:before="3"/>
        <w:rPr>
          <w:sz w:val="19"/>
        </w:rPr>
      </w:pPr>
    </w:p>
    <w:p>
      <w:pPr>
        <w:pStyle w:val="ListParagraph"/>
        <w:numPr>
          <w:ilvl w:val="0"/>
          <w:numId w:val="40"/>
        </w:numPr>
        <w:tabs>
          <w:tab w:pos="1089" w:val="left" w:leader="none"/>
        </w:tabs>
        <w:spacing w:line="242" w:lineRule="auto" w:before="0" w:after="0"/>
        <w:ind w:left="1088" w:right="123" w:hanging="682"/>
        <w:jc w:val="both"/>
        <w:rPr>
          <w:sz w:val="20"/>
        </w:rPr>
      </w:pPr>
      <w:r>
        <w:rPr>
          <w:sz w:val="20"/>
        </w:rPr>
        <w:t>El Órgano jurisdiccional reciba a una de las partes para tratar el asunto sujeto a proceso sin la presencia de la otra, salvo las excepciones previstas por la legislación procedimental</w:t>
      </w:r>
      <w:r>
        <w:rPr>
          <w:spacing w:val="-18"/>
          <w:sz w:val="20"/>
        </w:rPr>
        <w:t> </w:t>
      </w:r>
      <w:r>
        <w:rPr>
          <w:sz w:val="20"/>
        </w:rPr>
        <w:t>aplicable;</w:t>
      </w:r>
    </w:p>
    <w:p>
      <w:pPr>
        <w:pStyle w:val="BodyText"/>
        <w:spacing w:before="9"/>
        <w:rPr>
          <w:sz w:val="19"/>
        </w:rPr>
      </w:pPr>
    </w:p>
    <w:p>
      <w:pPr>
        <w:pStyle w:val="ListParagraph"/>
        <w:numPr>
          <w:ilvl w:val="0"/>
          <w:numId w:val="40"/>
        </w:numPr>
        <w:tabs>
          <w:tab w:pos="1089" w:val="left" w:leader="none"/>
        </w:tabs>
        <w:spacing w:line="240" w:lineRule="auto" w:before="0" w:after="0"/>
        <w:ind w:left="1088" w:right="123" w:hanging="682"/>
        <w:jc w:val="both"/>
        <w:rPr>
          <w:sz w:val="20"/>
        </w:rPr>
      </w:pPr>
      <w:r>
        <w:rPr>
          <w:sz w:val="20"/>
        </w:rPr>
        <w:t>El imputado no sea informado, desde el momento de su detención en su comparecencia ante el Ministerio Público o ante el órgano jurisdiccional, de los hechos que se le imputan y los derechos que le</w:t>
      </w:r>
      <w:r>
        <w:rPr>
          <w:spacing w:val="1"/>
          <w:sz w:val="20"/>
        </w:rPr>
        <w:t> </w:t>
      </w:r>
      <w:r>
        <w:rPr>
          <w:sz w:val="20"/>
        </w:rPr>
        <w:t>asisten;</w:t>
      </w:r>
    </w:p>
    <w:p>
      <w:pPr>
        <w:pStyle w:val="BodyText"/>
        <w:spacing w:before="11"/>
        <w:rPr>
          <w:sz w:val="19"/>
        </w:rPr>
      </w:pPr>
    </w:p>
    <w:p>
      <w:pPr>
        <w:pStyle w:val="ListParagraph"/>
        <w:numPr>
          <w:ilvl w:val="0"/>
          <w:numId w:val="40"/>
        </w:numPr>
        <w:tabs>
          <w:tab w:pos="1089" w:val="left" w:leader="none"/>
        </w:tabs>
        <w:spacing w:line="242" w:lineRule="auto" w:before="0" w:after="0"/>
        <w:ind w:left="1088" w:right="124" w:hanging="682"/>
        <w:jc w:val="both"/>
        <w:rPr>
          <w:sz w:val="20"/>
        </w:rPr>
      </w:pPr>
      <w:r>
        <w:rPr>
          <w:sz w:val="20"/>
        </w:rPr>
        <w:t>No se le haga saber o se le niegue al imputado extranjero, el derecho a recibir asistencia consular de las embajadas o consulados del país respecto del que sea nacional, salvo que haya declinado fehacientemente a este</w:t>
      </w:r>
      <w:r>
        <w:rPr>
          <w:spacing w:val="-4"/>
          <w:sz w:val="20"/>
        </w:rPr>
        <w:t> </w:t>
      </w:r>
      <w:r>
        <w:rPr>
          <w:sz w:val="20"/>
        </w:rPr>
        <w:t>derecho;</w:t>
      </w:r>
    </w:p>
    <w:p>
      <w:pPr>
        <w:pStyle w:val="BodyText"/>
        <w:spacing w:before="4"/>
        <w:rPr>
          <w:sz w:val="19"/>
        </w:rPr>
      </w:pPr>
    </w:p>
    <w:p>
      <w:pPr>
        <w:pStyle w:val="ListParagraph"/>
        <w:numPr>
          <w:ilvl w:val="0"/>
          <w:numId w:val="40"/>
        </w:numPr>
        <w:tabs>
          <w:tab w:pos="1089" w:val="left" w:leader="none"/>
        </w:tabs>
        <w:spacing w:line="242" w:lineRule="auto" w:before="0" w:after="0"/>
        <w:ind w:left="1088" w:right="122" w:hanging="682"/>
        <w:jc w:val="both"/>
        <w:rPr>
          <w:sz w:val="20"/>
        </w:rPr>
      </w:pPr>
      <w:r>
        <w:rPr>
          <w:sz w:val="20"/>
        </w:rPr>
        <w:t>No se reciban al imputado los medios de prueba o pruebas pertinentes que ofrezca o no se reciban con arreglo a derecho, no se le conceda el tiempo para el ofrecimiento de pruebas o no se le auxilie para obtener la comparecencia de las personas de quienes ofrezca su testimonio en los términos señalados por la</w:t>
      </w:r>
      <w:r>
        <w:rPr>
          <w:spacing w:val="-6"/>
          <w:sz w:val="20"/>
        </w:rPr>
        <w:t> </w:t>
      </w:r>
      <w:r>
        <w:rPr>
          <w:sz w:val="20"/>
        </w:rPr>
        <w:t>ley;</w:t>
      </w:r>
    </w:p>
    <w:p>
      <w:pPr>
        <w:pStyle w:val="BodyText"/>
        <w:spacing w:before="4"/>
        <w:rPr>
          <w:sz w:val="19"/>
        </w:rPr>
      </w:pPr>
    </w:p>
    <w:p>
      <w:pPr>
        <w:pStyle w:val="ListParagraph"/>
        <w:numPr>
          <w:ilvl w:val="0"/>
          <w:numId w:val="40"/>
        </w:numPr>
        <w:tabs>
          <w:tab w:pos="1088" w:val="left" w:leader="none"/>
          <w:tab w:pos="1089" w:val="left" w:leader="none"/>
        </w:tabs>
        <w:spacing w:line="240" w:lineRule="auto" w:before="0" w:after="0"/>
        <w:ind w:left="1088" w:right="124" w:hanging="682"/>
        <w:jc w:val="left"/>
        <w:rPr>
          <w:sz w:val="20"/>
        </w:rPr>
      </w:pPr>
      <w:r>
        <w:rPr>
          <w:sz w:val="20"/>
        </w:rPr>
        <w:t>El imputado no sea juzgado en audiencia pública por un juez o tribunal, salvo cuando se trate de los casos de excepción precisados por las disposiciones</w:t>
      </w:r>
      <w:r>
        <w:rPr>
          <w:spacing w:val="-2"/>
          <w:sz w:val="20"/>
        </w:rPr>
        <w:t> </w:t>
      </w:r>
      <w:r>
        <w:rPr>
          <w:sz w:val="20"/>
        </w:rPr>
        <w:t>aplicables;</w:t>
      </w:r>
    </w:p>
    <w:p>
      <w:pPr>
        <w:pStyle w:val="BodyText"/>
        <w:spacing w:before="11"/>
        <w:rPr>
          <w:sz w:val="19"/>
        </w:rPr>
      </w:pPr>
    </w:p>
    <w:p>
      <w:pPr>
        <w:pStyle w:val="ListParagraph"/>
        <w:numPr>
          <w:ilvl w:val="0"/>
          <w:numId w:val="40"/>
        </w:numPr>
        <w:tabs>
          <w:tab w:pos="1089" w:val="left" w:leader="none"/>
        </w:tabs>
        <w:spacing w:line="240" w:lineRule="auto" w:before="0" w:after="0"/>
        <w:ind w:left="1088" w:right="119" w:hanging="682"/>
        <w:jc w:val="both"/>
        <w:rPr>
          <w:sz w:val="20"/>
        </w:rPr>
      </w:pPr>
      <w:r>
        <w:rPr>
          <w:sz w:val="20"/>
        </w:rPr>
        <w:t>No se faciliten al imputado todos los datos que solicite para su defensa y que consten en el procedimiento o se restrinja al imputado y a la defensa el acceso a los registros de investigación cuando el primero esté detenido o se pretenda recibirle declaración o entrevistarlo;</w:t>
      </w:r>
    </w:p>
    <w:p>
      <w:pPr>
        <w:pStyle w:val="BodyText"/>
        <w:spacing w:before="11"/>
        <w:rPr>
          <w:sz w:val="19"/>
        </w:rPr>
      </w:pPr>
    </w:p>
    <w:p>
      <w:pPr>
        <w:pStyle w:val="ListParagraph"/>
        <w:numPr>
          <w:ilvl w:val="0"/>
          <w:numId w:val="40"/>
        </w:numPr>
        <w:tabs>
          <w:tab w:pos="1089" w:val="left" w:leader="none"/>
        </w:tabs>
        <w:spacing w:line="240" w:lineRule="auto" w:before="0" w:after="0"/>
        <w:ind w:left="1088" w:right="114" w:hanging="682"/>
        <w:jc w:val="both"/>
        <w:rPr>
          <w:sz w:val="20"/>
        </w:rPr>
      </w:pPr>
      <w:r>
        <w:rPr>
          <w:sz w:val="20"/>
        </w:rPr>
        <w:t>No se respete al imputado el derecho de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pPr>
        <w:pStyle w:val="BodyText"/>
        <w:spacing w:before="1"/>
      </w:pPr>
    </w:p>
    <w:p>
      <w:pPr>
        <w:pStyle w:val="ListParagraph"/>
        <w:numPr>
          <w:ilvl w:val="0"/>
          <w:numId w:val="40"/>
        </w:numPr>
        <w:tabs>
          <w:tab w:pos="1089" w:val="left" w:leader="none"/>
        </w:tabs>
        <w:spacing w:line="240" w:lineRule="auto" w:before="0" w:after="0"/>
        <w:ind w:left="1088" w:right="117" w:hanging="682"/>
        <w:jc w:val="both"/>
        <w:rPr>
          <w:sz w:val="20"/>
        </w:rPr>
      </w:pPr>
      <w:r>
        <w:rPr>
          <w:sz w:val="20"/>
        </w:rPr>
        <w:t>En caso de que el imputado no hable o entienda suficientemente el idioma español o sea sordo o mudo y no se le proporcione la asistencia de un intérprete que le permita acceder plenamente a la jurisdicción del Estado, o que tratándose de personas indígenas </w:t>
      </w:r>
      <w:r>
        <w:rPr>
          <w:spacing w:val="4"/>
          <w:sz w:val="20"/>
        </w:rPr>
        <w:t>no </w:t>
      </w:r>
      <w:r>
        <w:rPr>
          <w:sz w:val="20"/>
        </w:rPr>
        <w:t>se le proporcione un intérprete que tenga conocimiento de su lengua y</w:t>
      </w:r>
      <w:r>
        <w:rPr>
          <w:spacing w:val="-5"/>
          <w:sz w:val="20"/>
        </w:rPr>
        <w:t> </w:t>
      </w:r>
      <w:r>
        <w:rPr>
          <w:sz w:val="20"/>
        </w:rPr>
        <w:t>cultura;</w:t>
      </w:r>
    </w:p>
    <w:p>
      <w:pPr>
        <w:pStyle w:val="BodyText"/>
      </w:pPr>
    </w:p>
    <w:p>
      <w:pPr>
        <w:pStyle w:val="ListParagraph"/>
        <w:numPr>
          <w:ilvl w:val="0"/>
          <w:numId w:val="40"/>
        </w:numPr>
        <w:tabs>
          <w:tab w:pos="1089" w:val="left" w:leader="none"/>
        </w:tabs>
        <w:spacing w:line="242" w:lineRule="auto" w:before="0" w:after="0"/>
        <w:ind w:left="1088" w:right="125" w:hanging="682"/>
        <w:jc w:val="both"/>
        <w:rPr>
          <w:sz w:val="20"/>
        </w:rPr>
      </w:pPr>
      <w:r>
        <w:rPr>
          <w:sz w:val="20"/>
        </w:rPr>
        <w:t>Debiendo ser juzgado por una autoridad judicial, no se integre en los términos previstos en la ley o se le juzgue por otro</w:t>
      </w:r>
      <w:r>
        <w:rPr>
          <w:spacing w:val="-7"/>
          <w:sz w:val="20"/>
        </w:rPr>
        <w:t> </w:t>
      </w:r>
      <w:r>
        <w:rPr>
          <w:sz w:val="20"/>
        </w:rPr>
        <w:t>tribunal;</w:t>
      </w:r>
    </w:p>
    <w:p>
      <w:pPr>
        <w:pStyle w:val="BodyText"/>
        <w:spacing w:before="8"/>
        <w:rPr>
          <w:sz w:val="19"/>
        </w:rPr>
      </w:pPr>
    </w:p>
    <w:p>
      <w:pPr>
        <w:pStyle w:val="ListParagraph"/>
        <w:numPr>
          <w:ilvl w:val="0"/>
          <w:numId w:val="40"/>
        </w:numPr>
        <w:tabs>
          <w:tab w:pos="1088" w:val="left" w:leader="none"/>
          <w:tab w:pos="1089" w:val="left" w:leader="none"/>
        </w:tabs>
        <w:spacing w:line="240" w:lineRule="auto" w:before="0" w:after="0"/>
        <w:ind w:left="1088" w:right="123" w:hanging="682"/>
        <w:jc w:val="left"/>
        <w:rPr>
          <w:sz w:val="20"/>
        </w:rPr>
      </w:pPr>
      <w:r>
        <w:rPr>
          <w:sz w:val="20"/>
        </w:rPr>
        <w:t>No se permite interponer los recursos en los términos que la ley prevea respecto de las providencias que afecten partes sustanciales del procedimiento que produzca</w:t>
      </w:r>
      <w:r>
        <w:rPr>
          <w:spacing w:val="-12"/>
          <w:sz w:val="20"/>
        </w:rPr>
        <w:t> </w:t>
      </w:r>
      <w:r>
        <w:rPr>
          <w:sz w:val="20"/>
        </w:rPr>
        <w:t>indefensión;</w:t>
      </w:r>
    </w:p>
    <w:p>
      <w:pPr>
        <w:spacing w:after="0" w:line="240" w:lineRule="auto"/>
        <w:jc w:val="left"/>
        <w:rPr>
          <w:sz w:val="20"/>
        </w:rPr>
        <w:sectPr>
          <w:pgSz w:w="12240" w:h="15840"/>
          <w:pgMar w:header="708" w:footer="712" w:top="1760" w:bottom="900" w:left="1300" w:right="1300"/>
        </w:sectPr>
      </w:pPr>
    </w:p>
    <w:p>
      <w:pPr>
        <w:pStyle w:val="BodyText"/>
        <w:spacing w:before="5"/>
        <w:rPr>
          <w:sz w:val="27"/>
        </w:rPr>
      </w:pPr>
    </w:p>
    <w:p>
      <w:pPr>
        <w:pStyle w:val="ListParagraph"/>
        <w:numPr>
          <w:ilvl w:val="0"/>
          <w:numId w:val="40"/>
        </w:numPr>
        <w:tabs>
          <w:tab w:pos="1089" w:val="left" w:leader="none"/>
        </w:tabs>
        <w:spacing w:line="242" w:lineRule="auto" w:before="93" w:after="0"/>
        <w:ind w:left="1088" w:right="114" w:hanging="682"/>
        <w:jc w:val="both"/>
        <w:rPr>
          <w:sz w:val="20"/>
        </w:rPr>
      </w:pPr>
      <w:r>
        <w:rPr>
          <w:sz w:val="20"/>
        </w:rPr>
        <w:t>No se hayan respetado los derechos de la víctima y ofendido en términos de la legislación aplicable;</w:t>
      </w:r>
    </w:p>
    <w:p>
      <w:pPr>
        <w:pStyle w:val="BodyText"/>
        <w:spacing w:before="8"/>
        <w:rPr>
          <w:sz w:val="19"/>
        </w:rPr>
      </w:pPr>
    </w:p>
    <w:p>
      <w:pPr>
        <w:pStyle w:val="ListParagraph"/>
        <w:numPr>
          <w:ilvl w:val="0"/>
          <w:numId w:val="40"/>
        </w:numPr>
        <w:tabs>
          <w:tab w:pos="1089" w:val="left" w:leader="none"/>
        </w:tabs>
        <w:spacing w:line="240" w:lineRule="auto" w:before="0" w:after="0"/>
        <w:ind w:left="1088" w:right="116" w:hanging="682"/>
        <w:jc w:val="both"/>
        <w:rPr>
          <w:sz w:val="20"/>
        </w:rPr>
      </w:pPr>
      <w:r>
        <w:rPr>
          <w:sz w:val="20"/>
        </w:rPr>
        <w:t>Cuando seguido el proceso por un delito, el quejoso haya sido sentenciado por un ilícito diverso a los mismos hechos materiales que fueron objeto de la investigación, sin que hubiese sido oído en defensa sobre la nueva clasificación, en términos de la legislación procedimental aplicable.</w:t>
      </w:r>
    </w:p>
    <w:p>
      <w:pPr>
        <w:pStyle w:val="BodyText"/>
        <w:spacing w:before="2"/>
      </w:pPr>
    </w:p>
    <w:p>
      <w:pPr>
        <w:pStyle w:val="BodyText"/>
        <w:ind w:left="1088" w:right="123"/>
        <w:jc w:val="both"/>
      </w:pPr>
      <w:r>
        <w:rPr/>
        <w:t>No se considerará que el delito es diverso cuando el que se exprese en la sentencia sólo difiera en grado del que haya sido materia del proceso, o bien sea el resultado de la reclasificación jurídica del delito en términos del Código Nacional de Procedimientos Penales;</w:t>
      </w:r>
    </w:p>
    <w:p>
      <w:pPr>
        <w:pStyle w:val="BodyText"/>
        <w:spacing w:before="8"/>
        <w:rPr>
          <w:sz w:val="19"/>
        </w:rPr>
      </w:pPr>
    </w:p>
    <w:p>
      <w:pPr>
        <w:pStyle w:val="ListParagraph"/>
        <w:numPr>
          <w:ilvl w:val="0"/>
          <w:numId w:val="40"/>
        </w:numPr>
        <w:tabs>
          <w:tab w:pos="1089" w:val="left" w:leader="none"/>
        </w:tabs>
        <w:spacing w:line="242" w:lineRule="auto" w:before="1" w:after="0"/>
        <w:ind w:left="1088" w:right="124" w:hanging="682"/>
        <w:jc w:val="both"/>
        <w:rPr>
          <w:sz w:val="20"/>
        </w:rPr>
      </w:pPr>
      <w:r>
        <w:rPr>
          <w:sz w:val="20"/>
        </w:rPr>
        <w:t>Se trate de casos análogos a las fracciones anteriores a juicio del Órgano jurisdiccional de amparo.</w:t>
      </w:r>
    </w:p>
    <w:p>
      <w:pPr>
        <w:spacing w:line="237" w:lineRule="auto" w:before="0"/>
        <w:ind w:left="682" w:right="99" w:firstLine="5340"/>
        <w:jc w:val="left"/>
        <w:rPr>
          <w:rFonts w:ascii="Times New Roman" w:hAnsi="Times New Roman"/>
          <w:i/>
          <w:sz w:val="16"/>
        </w:rPr>
      </w:pPr>
      <w:r>
        <w:rPr>
          <w:rFonts w:ascii="Times New Roman" w:hAnsi="Times New Roman"/>
          <w:i/>
          <w:color w:val="0000FF"/>
          <w:sz w:val="16"/>
        </w:rPr>
        <w:t>Apartado con fracciones adicionado DOF 17-06-2016 </w:t>
      </w:r>
      <w:r>
        <w:rPr>
          <w:rFonts w:ascii="Times New Roman" w:hAnsi="Times New Roman"/>
          <w:i/>
          <w:color w:val="0000FF"/>
          <w:sz w:val="16"/>
        </w:rPr>
        <w:t>Artículo reestructurado DOF 17-06-2016 (se suprimen del artículo las anteriores fracciones I a XXII y se adicionan los Apartados A y B)</w:t>
      </w:r>
    </w:p>
    <w:p>
      <w:pPr>
        <w:pStyle w:val="BodyText"/>
        <w:rPr>
          <w:rFonts w:ascii="Times New Roman"/>
          <w:i/>
        </w:rPr>
      </w:pPr>
    </w:p>
    <w:p>
      <w:pPr>
        <w:pStyle w:val="BodyText"/>
        <w:ind w:left="118" w:right="117" w:firstLine="288"/>
        <w:jc w:val="both"/>
      </w:pPr>
      <w:bookmarkStart w:name="Artículo_174" w:id="174"/>
      <w:bookmarkEnd w:id="174"/>
      <w:r>
        <w:rPr/>
      </w:r>
      <w:r>
        <w:rPr>
          <w:b/>
        </w:rPr>
        <w:t>Artículo 174. </w:t>
      </w:r>
      <w:r>
        <w:rPr/>
        <w:t>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pPr>
        <w:pStyle w:val="BodyText"/>
        <w:spacing w:before="2"/>
      </w:pPr>
    </w:p>
    <w:p>
      <w:pPr>
        <w:pStyle w:val="BodyText"/>
        <w:ind w:left="118" w:right="125" w:firstLine="288"/>
        <w:jc w:val="both"/>
      </w:pPr>
      <w:r>
        <w:rPr/>
        <w:t>El tribunal colegiado de circuito, deberá decidir respecto de todas las violaciones procesales que se hicieron valer y aquellas que, en su caso, advierta en suplencia de la queja.</w:t>
      </w:r>
    </w:p>
    <w:p>
      <w:pPr>
        <w:pStyle w:val="BodyText"/>
        <w:spacing w:before="10"/>
        <w:rPr>
          <w:sz w:val="19"/>
        </w:rPr>
      </w:pPr>
    </w:p>
    <w:p>
      <w:pPr>
        <w:pStyle w:val="BodyText"/>
        <w:ind w:left="118" w:right="117" w:firstLine="288"/>
        <w:jc w:val="both"/>
      </w:pPr>
      <w:r>
        <w:rP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BodyText"/>
      </w:pPr>
    </w:p>
    <w:p>
      <w:pPr>
        <w:pStyle w:val="Heading1"/>
        <w:ind w:left="3904" w:right="3897"/>
      </w:pPr>
      <w:r>
        <w:rPr/>
        <w:t>Sección Segunda Demanda</w:t>
      </w:r>
    </w:p>
    <w:p>
      <w:pPr>
        <w:pStyle w:val="BodyText"/>
        <w:spacing w:before="10"/>
        <w:rPr>
          <w:b/>
          <w:sz w:val="19"/>
        </w:rPr>
      </w:pPr>
    </w:p>
    <w:p>
      <w:pPr>
        <w:pStyle w:val="BodyText"/>
        <w:ind w:left="406"/>
      </w:pPr>
      <w:bookmarkStart w:name="Artículo_175" w:id="175"/>
      <w:bookmarkEnd w:id="175"/>
      <w:r>
        <w:rPr/>
      </w:r>
      <w:r>
        <w:rPr>
          <w:b/>
        </w:rPr>
        <w:t>Artículo 175. </w:t>
      </w:r>
      <w:r>
        <w:rPr/>
        <w:t>La demanda de amparo directo deberá formularse por escrito, en el que se expresarán:</w:t>
      </w:r>
    </w:p>
    <w:p>
      <w:pPr>
        <w:pStyle w:val="BodyText"/>
        <w:spacing w:before="1"/>
      </w:pPr>
    </w:p>
    <w:p>
      <w:pPr>
        <w:pStyle w:val="ListParagraph"/>
        <w:numPr>
          <w:ilvl w:val="1"/>
          <w:numId w:val="40"/>
        </w:numPr>
        <w:tabs>
          <w:tab w:pos="1005" w:val="left" w:leader="none"/>
        </w:tabs>
        <w:spacing w:line="240" w:lineRule="auto" w:before="0" w:after="0"/>
        <w:ind w:left="1004" w:right="0" w:hanging="167"/>
        <w:jc w:val="left"/>
        <w:rPr>
          <w:sz w:val="20"/>
        </w:rPr>
      </w:pPr>
      <w:r>
        <w:rPr>
          <w:sz w:val="20"/>
        </w:rPr>
        <w:t>El nombre y domicilio del quejoso y de quien promueve en su</w:t>
      </w:r>
      <w:r>
        <w:rPr>
          <w:spacing w:val="-7"/>
          <w:sz w:val="20"/>
        </w:rPr>
        <w:t> </w:t>
      </w:r>
      <w:r>
        <w:rPr>
          <w:sz w:val="20"/>
        </w:rPr>
        <w:t>nombre;</w:t>
      </w:r>
    </w:p>
    <w:p>
      <w:pPr>
        <w:pStyle w:val="BodyText"/>
      </w:pPr>
    </w:p>
    <w:p>
      <w:pPr>
        <w:pStyle w:val="ListParagraph"/>
        <w:numPr>
          <w:ilvl w:val="1"/>
          <w:numId w:val="40"/>
        </w:numPr>
        <w:tabs>
          <w:tab w:pos="1060" w:val="left" w:leader="none"/>
        </w:tabs>
        <w:spacing w:line="240" w:lineRule="auto" w:before="1" w:after="0"/>
        <w:ind w:left="1059" w:right="0" w:hanging="222"/>
        <w:jc w:val="left"/>
        <w:rPr>
          <w:sz w:val="20"/>
        </w:rPr>
      </w:pPr>
      <w:r>
        <w:rPr>
          <w:sz w:val="20"/>
        </w:rPr>
        <w:t>El nombre y domicilio del tercero</w:t>
      </w:r>
      <w:r>
        <w:rPr>
          <w:spacing w:val="-7"/>
          <w:sz w:val="20"/>
        </w:rPr>
        <w:t> </w:t>
      </w:r>
      <w:r>
        <w:rPr>
          <w:sz w:val="20"/>
        </w:rPr>
        <w:t>interesado;</w:t>
      </w:r>
    </w:p>
    <w:p>
      <w:pPr>
        <w:pStyle w:val="BodyText"/>
        <w:spacing w:before="9"/>
        <w:rPr>
          <w:sz w:val="19"/>
        </w:rPr>
      </w:pPr>
    </w:p>
    <w:p>
      <w:pPr>
        <w:pStyle w:val="ListParagraph"/>
        <w:numPr>
          <w:ilvl w:val="1"/>
          <w:numId w:val="40"/>
        </w:numPr>
        <w:tabs>
          <w:tab w:pos="1115" w:val="left" w:leader="none"/>
        </w:tabs>
        <w:spacing w:line="240" w:lineRule="auto" w:before="1" w:after="0"/>
        <w:ind w:left="1114" w:right="0" w:hanging="277"/>
        <w:jc w:val="left"/>
        <w:rPr>
          <w:sz w:val="20"/>
        </w:rPr>
      </w:pPr>
      <w:r>
        <w:rPr>
          <w:sz w:val="20"/>
        </w:rPr>
        <w:t>La autoridad</w:t>
      </w:r>
      <w:r>
        <w:rPr>
          <w:spacing w:val="-1"/>
          <w:sz w:val="20"/>
        </w:rPr>
        <w:t> </w:t>
      </w:r>
      <w:r>
        <w:rPr>
          <w:sz w:val="20"/>
        </w:rPr>
        <w:t>responsable;</w:t>
      </w:r>
    </w:p>
    <w:p>
      <w:pPr>
        <w:pStyle w:val="BodyText"/>
      </w:pPr>
    </w:p>
    <w:p>
      <w:pPr>
        <w:pStyle w:val="ListParagraph"/>
        <w:numPr>
          <w:ilvl w:val="1"/>
          <w:numId w:val="40"/>
        </w:numPr>
        <w:tabs>
          <w:tab w:pos="1139" w:val="left" w:leader="none"/>
        </w:tabs>
        <w:spacing w:line="240" w:lineRule="auto" w:before="0" w:after="0"/>
        <w:ind w:left="1138" w:right="0" w:hanging="301"/>
        <w:jc w:val="left"/>
        <w:rPr>
          <w:sz w:val="20"/>
        </w:rPr>
      </w:pPr>
      <w:r>
        <w:rPr>
          <w:sz w:val="20"/>
        </w:rPr>
        <w:t>El acto</w:t>
      </w:r>
      <w:r>
        <w:rPr>
          <w:spacing w:val="-2"/>
          <w:sz w:val="20"/>
        </w:rPr>
        <w:t> </w:t>
      </w:r>
      <w:r>
        <w:rPr>
          <w:sz w:val="20"/>
        </w:rPr>
        <w:t>reclamado.</w:t>
      </w:r>
    </w:p>
    <w:p>
      <w:pPr>
        <w:pStyle w:val="BodyText"/>
        <w:spacing w:before="3"/>
      </w:pPr>
    </w:p>
    <w:p>
      <w:pPr>
        <w:pStyle w:val="BodyText"/>
        <w:spacing w:before="1"/>
        <w:ind w:left="838" w:right="122"/>
        <w:jc w:val="both"/>
      </w:pPr>
      <w:r>
        <w:rPr/>
        <w:t>Cuando se impugne la sentencia definitiva, laudo o resolución que haya puesto fin al juicio por estimarse inconstitucional la norma general aplicada, ello será materia únicamente del capítulo</w:t>
      </w:r>
      <w:r>
        <w:rPr>
          <w:spacing w:val="-26"/>
        </w:rPr>
        <w:t> </w:t>
      </w:r>
      <w:r>
        <w:rPr/>
        <w:t>de conceptos de violación de la demanda, sin señalar como acto reclamado la norma general, debiéndose llevar a cabo la calificación de éstos en la parte considerativa de la</w:t>
      </w:r>
      <w:r>
        <w:rPr>
          <w:spacing w:val="-12"/>
        </w:rPr>
        <w:t> </w:t>
      </w:r>
      <w:r>
        <w:rPr/>
        <w:t>sentencia;</w:t>
      </w:r>
    </w:p>
    <w:p>
      <w:pPr>
        <w:pStyle w:val="BodyText"/>
        <w:spacing w:before="9"/>
        <w:rPr>
          <w:sz w:val="19"/>
        </w:rPr>
      </w:pPr>
    </w:p>
    <w:p>
      <w:pPr>
        <w:pStyle w:val="ListParagraph"/>
        <w:numPr>
          <w:ilvl w:val="1"/>
          <w:numId w:val="40"/>
        </w:numPr>
        <w:tabs>
          <w:tab w:pos="1108" w:val="left" w:leader="none"/>
        </w:tabs>
        <w:spacing w:line="242" w:lineRule="auto" w:before="0" w:after="0"/>
        <w:ind w:left="838" w:right="125" w:firstLine="0"/>
        <w:jc w:val="left"/>
        <w:rPr>
          <w:sz w:val="20"/>
        </w:rPr>
      </w:pPr>
      <w:r>
        <w:rPr>
          <w:sz w:val="20"/>
        </w:rPr>
        <w:t>La fecha en que se haya notificado el acto reclamado al quejoso o aquélla en que hubiese tenido conocimiento del</w:t>
      </w:r>
      <w:r>
        <w:rPr>
          <w:spacing w:val="-3"/>
          <w:sz w:val="20"/>
        </w:rPr>
        <w:t> </w:t>
      </w:r>
      <w:r>
        <w:rPr>
          <w:sz w:val="20"/>
        </w:rPr>
        <w:t>mismo;</w:t>
      </w:r>
    </w:p>
    <w:p>
      <w:pPr>
        <w:pStyle w:val="BodyText"/>
        <w:spacing w:before="6"/>
        <w:rPr>
          <w:sz w:val="19"/>
        </w:rPr>
      </w:pPr>
    </w:p>
    <w:p>
      <w:pPr>
        <w:pStyle w:val="ListParagraph"/>
        <w:numPr>
          <w:ilvl w:val="1"/>
          <w:numId w:val="40"/>
        </w:numPr>
        <w:tabs>
          <w:tab w:pos="1187" w:val="left" w:leader="none"/>
        </w:tabs>
        <w:spacing w:line="242" w:lineRule="auto" w:before="0" w:after="0"/>
        <w:ind w:left="838" w:right="128" w:firstLine="0"/>
        <w:jc w:val="left"/>
        <w:rPr>
          <w:sz w:val="20"/>
        </w:rPr>
      </w:pPr>
      <w:r>
        <w:rPr>
          <w:sz w:val="20"/>
        </w:rPr>
        <w:t>Los preceptos que, conforme a la fracción I del artículo 1o de esta Ley, contengan los derechos humanos cuya violación se reclame;</w:t>
      </w:r>
      <w:r>
        <w:rPr>
          <w:spacing w:val="-1"/>
          <w:sz w:val="20"/>
        </w:rPr>
        <w:t> </w:t>
      </w:r>
      <w:r>
        <w:rPr>
          <w:sz w:val="20"/>
        </w:rPr>
        <w:t>y</w:t>
      </w:r>
    </w:p>
    <w:p>
      <w:pPr>
        <w:spacing w:after="0" w:line="242" w:lineRule="auto"/>
        <w:jc w:val="left"/>
        <w:rPr>
          <w:sz w:val="20"/>
        </w:rPr>
        <w:sectPr>
          <w:pgSz w:w="12240" w:h="15840"/>
          <w:pgMar w:header="708" w:footer="712" w:top="1760" w:bottom="900" w:left="1300" w:right="1300"/>
        </w:sectPr>
      </w:pPr>
    </w:p>
    <w:p>
      <w:pPr>
        <w:pStyle w:val="BodyText"/>
        <w:spacing w:before="5"/>
        <w:rPr>
          <w:sz w:val="27"/>
        </w:rPr>
      </w:pPr>
    </w:p>
    <w:p>
      <w:pPr>
        <w:pStyle w:val="ListParagraph"/>
        <w:numPr>
          <w:ilvl w:val="1"/>
          <w:numId w:val="40"/>
        </w:numPr>
        <w:tabs>
          <w:tab w:pos="1194" w:val="left" w:leader="none"/>
        </w:tabs>
        <w:spacing w:line="240" w:lineRule="auto" w:before="93" w:after="0"/>
        <w:ind w:left="1194" w:right="0" w:hanging="356"/>
        <w:jc w:val="both"/>
        <w:rPr>
          <w:sz w:val="20"/>
        </w:rPr>
      </w:pPr>
      <w:r>
        <w:rPr>
          <w:sz w:val="20"/>
        </w:rPr>
        <w:t>Los conceptos de violación.</w:t>
      </w:r>
    </w:p>
    <w:p>
      <w:pPr>
        <w:pStyle w:val="BodyText"/>
        <w:spacing w:before="1"/>
      </w:pPr>
    </w:p>
    <w:p>
      <w:pPr>
        <w:pStyle w:val="BodyText"/>
        <w:spacing w:line="242" w:lineRule="auto"/>
        <w:ind w:left="118" w:right="126" w:firstLine="288"/>
        <w:jc w:val="both"/>
      </w:pPr>
      <w:bookmarkStart w:name="Artículo_176" w:id="176"/>
      <w:bookmarkEnd w:id="176"/>
      <w:r>
        <w:rPr/>
      </w:r>
      <w:r>
        <w:rPr>
          <w:b/>
        </w:rPr>
        <w:t>Artículo 176. </w:t>
      </w:r>
      <w:r>
        <w:rPr/>
        <w:t>La demanda de amparo deberá presentarse por conducto de la autoridad responsable, con copia para cada una de las</w:t>
      </w:r>
      <w:r>
        <w:rPr>
          <w:spacing w:val="-5"/>
        </w:rPr>
        <w:t> </w:t>
      </w:r>
      <w:r>
        <w:rPr/>
        <w:t>partes.</w:t>
      </w:r>
    </w:p>
    <w:p>
      <w:pPr>
        <w:pStyle w:val="BodyText"/>
        <w:spacing w:before="8"/>
        <w:rPr>
          <w:sz w:val="19"/>
        </w:rPr>
      </w:pPr>
    </w:p>
    <w:p>
      <w:pPr>
        <w:pStyle w:val="BodyText"/>
        <w:ind w:left="118" w:right="119" w:firstLine="288"/>
        <w:jc w:val="both"/>
      </w:pPr>
      <w:r>
        <w:rPr/>
        <w:t>La presentación de la demanda ante autoridad distinta de la responsable no interrumpe los plazos que para su promoción establece esta</w:t>
      </w:r>
      <w:r>
        <w:rPr>
          <w:spacing w:val="-6"/>
        </w:rPr>
        <w:t> </w:t>
      </w:r>
      <w:r>
        <w:rPr/>
        <w:t>Ley.</w:t>
      </w:r>
    </w:p>
    <w:p>
      <w:pPr>
        <w:pStyle w:val="BodyText"/>
        <w:spacing w:before="10"/>
        <w:rPr>
          <w:sz w:val="19"/>
        </w:rPr>
      </w:pPr>
    </w:p>
    <w:p>
      <w:pPr>
        <w:pStyle w:val="BodyText"/>
        <w:ind w:left="118" w:right="116" w:firstLine="288"/>
        <w:jc w:val="both"/>
      </w:pPr>
      <w:bookmarkStart w:name="Artículo_177" w:id="177"/>
      <w:bookmarkEnd w:id="177"/>
      <w:r>
        <w:rPr/>
      </w:r>
      <w:r>
        <w:rPr>
          <w:b/>
        </w:rPr>
        <w:t>Artículo 177. </w:t>
      </w:r>
      <w:r>
        <w:rPr/>
        <w:t>Cuando no se exhiban las copias a que se refiere el artículo anterior o no se presenten todas las necesarias, la autoridad responsable prevendrá al promovente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w:t>
      </w:r>
      <w:r>
        <w:rPr>
          <w:spacing w:val="-4"/>
        </w:rPr>
        <w:t> </w:t>
      </w:r>
      <w:r>
        <w:rPr/>
        <w:t>corresponda.</w:t>
      </w:r>
    </w:p>
    <w:p>
      <w:pPr>
        <w:pStyle w:val="BodyText"/>
        <w:spacing w:before="2"/>
      </w:pPr>
    </w:p>
    <w:p>
      <w:pPr>
        <w:pStyle w:val="BodyText"/>
        <w:ind w:left="118" w:right="113" w:firstLine="288"/>
        <w:jc w:val="both"/>
      </w:pPr>
      <w:r>
        <w:rPr/>
        <w:t>La autoridad responsable, de oficio, mandará sacar las copias en asuntos del orden penal, laboral tratándose de los trabajadores, cuando se puedan afectar intereses de menores o incapaces, así como los derechos agrarios de los núcleos de población comunal o ejidal o de los ejidatarios o comuneros, o de quienes por sus condiciones de pobreza o marginación se encuentren en clara desventaja social para emprender un juicio, o cuando la demanda sea presentada por vía</w:t>
      </w:r>
      <w:r>
        <w:rPr>
          <w:spacing w:val="-2"/>
        </w:rPr>
        <w:t> </w:t>
      </w:r>
      <w:r>
        <w:rPr/>
        <w:t>electrónica.</w:t>
      </w:r>
    </w:p>
    <w:p>
      <w:pPr>
        <w:pStyle w:val="BodyText"/>
        <w:spacing w:before="9"/>
        <w:rPr>
          <w:sz w:val="19"/>
        </w:rPr>
      </w:pPr>
    </w:p>
    <w:p>
      <w:pPr>
        <w:pStyle w:val="BodyText"/>
        <w:spacing w:line="242" w:lineRule="auto"/>
        <w:ind w:left="118" w:right="120" w:firstLine="288"/>
        <w:jc w:val="both"/>
      </w:pPr>
      <w:bookmarkStart w:name="Artículo_178" w:id="178"/>
      <w:bookmarkEnd w:id="178"/>
      <w:r>
        <w:rPr/>
      </w:r>
      <w:r>
        <w:rPr>
          <w:b/>
        </w:rPr>
        <w:t>Artículo 178. </w:t>
      </w:r>
      <w:r>
        <w:rPr/>
        <w:t>Dentro del plazo de cinco días contados a partir del siguiente al de presentación de la demanda, la autoridad responsable que emitió el acto reclamado deberá:</w:t>
      </w:r>
    </w:p>
    <w:p>
      <w:pPr>
        <w:pStyle w:val="BodyText"/>
        <w:spacing w:before="8"/>
        <w:rPr>
          <w:sz w:val="19"/>
        </w:rPr>
      </w:pPr>
    </w:p>
    <w:p>
      <w:pPr>
        <w:pStyle w:val="ListParagraph"/>
        <w:numPr>
          <w:ilvl w:val="0"/>
          <w:numId w:val="41"/>
        </w:numPr>
        <w:tabs>
          <w:tab w:pos="1017" w:val="left" w:leader="none"/>
        </w:tabs>
        <w:spacing w:line="242" w:lineRule="auto" w:before="0" w:after="0"/>
        <w:ind w:left="838" w:right="125" w:firstLine="0"/>
        <w:jc w:val="both"/>
        <w:rPr>
          <w:sz w:val="20"/>
        </w:rPr>
      </w:pPr>
      <w:r>
        <w:rPr>
          <w:sz w:val="20"/>
        </w:rPr>
        <w:t>Certificar al pie de la demanda, la fecha de notificación al quejoso de la resolución reclamada, la de su presentación y los días inhábiles que mediaron entre ambas</w:t>
      </w:r>
      <w:r>
        <w:rPr>
          <w:spacing w:val="-2"/>
          <w:sz w:val="20"/>
        </w:rPr>
        <w:t> </w:t>
      </w:r>
      <w:r>
        <w:rPr>
          <w:sz w:val="20"/>
        </w:rPr>
        <w:t>fechas.</w:t>
      </w:r>
    </w:p>
    <w:p>
      <w:pPr>
        <w:pStyle w:val="BodyText"/>
        <w:spacing w:before="9"/>
        <w:rPr>
          <w:sz w:val="19"/>
        </w:rPr>
      </w:pPr>
    </w:p>
    <w:p>
      <w:pPr>
        <w:pStyle w:val="BodyText"/>
        <w:ind w:left="838" w:right="119"/>
        <w:jc w:val="both"/>
      </w:pPr>
      <w:r>
        <w:rP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pPr>
        <w:pStyle w:val="BodyText"/>
        <w:spacing w:before="8"/>
        <w:rPr>
          <w:sz w:val="19"/>
        </w:rPr>
      </w:pPr>
    </w:p>
    <w:p>
      <w:pPr>
        <w:pStyle w:val="ListParagraph"/>
        <w:numPr>
          <w:ilvl w:val="0"/>
          <w:numId w:val="41"/>
        </w:numPr>
        <w:tabs>
          <w:tab w:pos="1108" w:val="left" w:leader="none"/>
        </w:tabs>
        <w:spacing w:line="242" w:lineRule="auto" w:before="1" w:after="0"/>
        <w:ind w:left="838" w:right="128" w:firstLine="0"/>
        <w:jc w:val="both"/>
        <w:rPr>
          <w:sz w:val="20"/>
        </w:rPr>
      </w:pPr>
      <w:r>
        <w:rPr>
          <w:sz w:val="20"/>
        </w:rPr>
        <w:t>Correr traslado al tercero interesado, en el último domicilio que haya designado para oír notificaciones en los autos del juicio de origen o en el que señale el quejoso;</w:t>
      </w:r>
      <w:r>
        <w:rPr>
          <w:spacing w:val="-5"/>
          <w:sz w:val="20"/>
        </w:rPr>
        <w:t> </w:t>
      </w:r>
      <w:r>
        <w:rPr>
          <w:sz w:val="20"/>
        </w:rPr>
        <w:t>y</w:t>
      </w:r>
    </w:p>
    <w:p>
      <w:pPr>
        <w:pStyle w:val="BodyText"/>
        <w:spacing w:before="8"/>
        <w:rPr>
          <w:sz w:val="19"/>
        </w:rPr>
      </w:pPr>
    </w:p>
    <w:p>
      <w:pPr>
        <w:pStyle w:val="ListParagraph"/>
        <w:numPr>
          <w:ilvl w:val="0"/>
          <w:numId w:val="41"/>
        </w:numPr>
        <w:tabs>
          <w:tab w:pos="1132" w:val="left" w:leader="none"/>
        </w:tabs>
        <w:spacing w:line="240" w:lineRule="auto" w:before="0" w:after="0"/>
        <w:ind w:left="838" w:right="122" w:firstLine="0"/>
        <w:jc w:val="both"/>
        <w:rPr>
          <w:sz w:val="20"/>
        </w:rPr>
      </w:pPr>
      <w:r>
        <w:rPr>
          <w:sz w:val="20"/>
        </w:rPr>
        <w:t>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w:t>
      </w:r>
      <w:r>
        <w:rPr>
          <w:spacing w:val="-1"/>
          <w:sz w:val="20"/>
        </w:rPr>
        <w:t> </w:t>
      </w:r>
      <w:r>
        <w:rPr>
          <w:sz w:val="20"/>
        </w:rPr>
        <w:t>suspensión.</w:t>
      </w:r>
    </w:p>
    <w:p>
      <w:pPr>
        <w:pStyle w:val="BodyText"/>
        <w:spacing w:before="2"/>
      </w:pPr>
    </w:p>
    <w:p>
      <w:pPr>
        <w:pStyle w:val="BodyText"/>
        <w:ind w:left="838" w:right="117"/>
        <w:jc w:val="both"/>
      </w:pPr>
      <w:r>
        <w:rPr/>
        <w:t>En el sistema procesal penal acusatorio, se acompañará un índice cronológico del desahogo de la audiencia en la que se haya dictado el acto reclamado, en el que se indique el orden de intervención de cada una de las</w:t>
      </w:r>
      <w:r>
        <w:rPr>
          <w:spacing w:val="2"/>
        </w:rPr>
        <w:t> </w:t>
      </w:r>
      <w:r>
        <w:rPr/>
        <w:t>partes.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17-06-2016</w:t>
      </w:r>
    </w:p>
    <w:p>
      <w:pPr>
        <w:pStyle w:val="BodyText"/>
        <w:spacing w:before="1"/>
        <w:rPr>
          <w:rFonts w:ascii="Times New Roman"/>
          <w:i/>
        </w:rPr>
      </w:pPr>
    </w:p>
    <w:p>
      <w:pPr>
        <w:pStyle w:val="Heading1"/>
        <w:spacing w:before="1"/>
        <w:ind w:left="3904" w:right="3897"/>
      </w:pPr>
      <w:r>
        <w:rPr/>
        <w:t>Sección Tercera Substanciación</w:t>
      </w:r>
    </w:p>
    <w:p>
      <w:pPr>
        <w:pStyle w:val="BodyText"/>
        <w:spacing w:before="11"/>
        <w:rPr>
          <w:b/>
          <w:sz w:val="11"/>
        </w:rPr>
      </w:pPr>
    </w:p>
    <w:p>
      <w:pPr>
        <w:pStyle w:val="BodyText"/>
        <w:spacing w:before="92"/>
        <w:ind w:left="118" w:right="123" w:firstLine="288"/>
        <w:jc w:val="both"/>
      </w:pPr>
      <w:bookmarkStart w:name="Artículo_179" w:id="179"/>
      <w:bookmarkEnd w:id="179"/>
      <w:r>
        <w:rPr/>
      </w:r>
      <w:r>
        <w:rPr>
          <w:b/>
        </w:rPr>
        <w:t>Artículo 179. </w:t>
      </w:r>
      <w:r>
        <w:rPr/>
        <w:t>El presidente del tribunal colegiado de circuito deberá resolver en el plazo de tres días si admite la demanda, previene al quejoso para su regularización, o la desecha por encontrar motivo manifiesto e indudable de improcedencia.</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3" w:firstLine="288"/>
        <w:jc w:val="both"/>
      </w:pPr>
      <w:bookmarkStart w:name="Artículo_180" w:id="180"/>
      <w:bookmarkEnd w:id="180"/>
      <w:r>
        <w:rPr/>
      </w:r>
      <w:r>
        <w:rPr>
          <w:b/>
        </w:rPr>
        <w:t>Artículo 180. </w:t>
      </w:r>
      <w:r>
        <w:rPr/>
        <w:t>Si hubiera irregularidades en el escrito de demanda por no haber satisfecho los requisitos que establece el artículo 175 de esta Ley, el presidente del tribunal colegiado de circuito señalará al promovente un plazo que no excederá de cinco días, para que subsane las omisiones o corrija los defectos precisados en la providencia</w:t>
      </w:r>
      <w:r>
        <w:rPr>
          <w:spacing w:val="-2"/>
        </w:rPr>
        <w:t> </w:t>
      </w:r>
      <w:r>
        <w:rPr/>
        <w:t>relativa.</w:t>
      </w:r>
    </w:p>
    <w:p>
      <w:pPr>
        <w:pStyle w:val="BodyText"/>
        <w:spacing w:before="4"/>
        <w:rPr>
          <w:sz w:val="19"/>
        </w:rPr>
      </w:pPr>
    </w:p>
    <w:p>
      <w:pPr>
        <w:pStyle w:val="BodyText"/>
        <w:ind w:left="118" w:right="123" w:firstLine="288"/>
        <w:jc w:val="both"/>
      </w:pPr>
      <w:r>
        <w:rPr/>
        <w:t>Si el quejoso no cumple el requerimiento, el presidente del tribunal tendrá por no presentada la demanda y lo comunicará a la autoridad responsable.</w:t>
      </w:r>
    </w:p>
    <w:p>
      <w:pPr>
        <w:pStyle w:val="BodyText"/>
        <w:spacing w:before="11"/>
        <w:rPr>
          <w:sz w:val="19"/>
        </w:rPr>
      </w:pPr>
    </w:p>
    <w:p>
      <w:pPr>
        <w:pStyle w:val="BodyText"/>
        <w:ind w:left="118" w:right="125" w:firstLine="288"/>
        <w:jc w:val="both"/>
      </w:pPr>
      <w:bookmarkStart w:name="Artículo_181" w:id="181"/>
      <w:bookmarkEnd w:id="181"/>
      <w:r>
        <w:rPr/>
      </w:r>
      <w:r>
        <w:rPr>
          <w:b/>
        </w:rPr>
        <w:t>Artículo 181. </w:t>
      </w:r>
      <w:r>
        <w:rPr/>
        <w:t>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pPr>
        <w:pStyle w:val="BodyText"/>
      </w:pPr>
    </w:p>
    <w:p>
      <w:pPr>
        <w:pStyle w:val="BodyText"/>
        <w:ind w:left="118" w:right="117" w:firstLine="288"/>
        <w:jc w:val="both"/>
      </w:pPr>
      <w:bookmarkStart w:name="Artículo_182" w:id="182"/>
      <w:bookmarkEnd w:id="182"/>
      <w:r>
        <w:rPr/>
      </w:r>
      <w:r>
        <w:rPr>
          <w:b/>
        </w:rPr>
        <w:t>Artículo 182. </w:t>
      </w:r>
      <w:r>
        <w:rPr/>
        <w:t>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pPr>
        <w:pStyle w:val="BodyText"/>
        <w:spacing w:before="3"/>
      </w:pPr>
    </w:p>
    <w:p>
      <w:pPr>
        <w:pStyle w:val="BodyText"/>
        <w:ind w:left="406"/>
      </w:pPr>
      <w:r>
        <w:rPr/>
        <w:t>El amparo adhesivo únicamente procederá en los casos siguientes:</w:t>
      </w:r>
    </w:p>
    <w:p>
      <w:pPr>
        <w:pStyle w:val="BodyText"/>
        <w:spacing w:before="7"/>
        <w:rPr>
          <w:sz w:val="19"/>
        </w:rPr>
      </w:pPr>
    </w:p>
    <w:p>
      <w:pPr>
        <w:pStyle w:val="ListParagraph"/>
        <w:numPr>
          <w:ilvl w:val="0"/>
          <w:numId w:val="42"/>
        </w:numPr>
        <w:tabs>
          <w:tab w:pos="1019" w:val="left" w:leader="none"/>
        </w:tabs>
        <w:spacing w:line="242" w:lineRule="auto" w:before="1" w:after="0"/>
        <w:ind w:left="838" w:right="127" w:firstLine="0"/>
        <w:jc w:val="left"/>
        <w:rPr>
          <w:sz w:val="20"/>
        </w:rPr>
      </w:pPr>
      <w:r>
        <w:rPr>
          <w:sz w:val="20"/>
        </w:rPr>
        <w:t>Cuando el adherente trate de fortalecer las consideraciones vertidas en el fallo definitivo, a fin de no quedar indefenso;</w:t>
      </w:r>
      <w:r>
        <w:rPr>
          <w:spacing w:val="2"/>
          <w:sz w:val="20"/>
        </w:rPr>
        <w:t> </w:t>
      </w:r>
      <w:r>
        <w:rPr>
          <w:sz w:val="20"/>
        </w:rPr>
        <w:t>y</w:t>
      </w:r>
    </w:p>
    <w:p>
      <w:pPr>
        <w:pStyle w:val="BodyText"/>
        <w:spacing w:before="8"/>
        <w:rPr>
          <w:sz w:val="19"/>
        </w:rPr>
      </w:pPr>
    </w:p>
    <w:p>
      <w:pPr>
        <w:pStyle w:val="ListParagraph"/>
        <w:numPr>
          <w:ilvl w:val="0"/>
          <w:numId w:val="42"/>
        </w:numPr>
        <w:tabs>
          <w:tab w:pos="1070" w:val="left" w:leader="none"/>
        </w:tabs>
        <w:spacing w:line="242" w:lineRule="auto" w:before="0" w:after="0"/>
        <w:ind w:left="838" w:right="123" w:firstLine="0"/>
        <w:jc w:val="left"/>
        <w:rPr>
          <w:sz w:val="20"/>
        </w:rPr>
      </w:pPr>
      <w:r>
        <w:rPr>
          <w:sz w:val="20"/>
        </w:rPr>
        <w:t>Cuando existan violaciones al procedimiento que pudieran afectar las defensas del adherente, trascendiendo al resultado del</w:t>
      </w:r>
      <w:r>
        <w:rPr>
          <w:spacing w:val="-3"/>
          <w:sz w:val="20"/>
        </w:rPr>
        <w:t> </w:t>
      </w:r>
      <w:r>
        <w:rPr>
          <w:sz w:val="20"/>
        </w:rPr>
        <w:t>fallo.</w:t>
      </w:r>
    </w:p>
    <w:p>
      <w:pPr>
        <w:pStyle w:val="BodyText"/>
        <w:spacing w:before="8"/>
        <w:rPr>
          <w:sz w:val="19"/>
        </w:rPr>
      </w:pPr>
    </w:p>
    <w:p>
      <w:pPr>
        <w:pStyle w:val="BodyText"/>
        <w:ind w:left="118" w:right="117" w:firstLine="288"/>
        <w:jc w:val="both"/>
      </w:pPr>
      <w:r>
        <w:rP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 que pudieran trascender al resultado del fallo y que respecto de ellas, el adherente hubiese agotado los medios ordinarios de defensa, a menos que se trate de menores,</w:t>
      </w:r>
      <w:r>
        <w:rPr>
          <w:spacing w:val="12"/>
        </w:rPr>
        <w:t> </w:t>
      </w:r>
      <w:r>
        <w:rPr/>
        <w:t>incapaces, ejidatarios, trabajadores, núcleos de población ejidal o comunal, o de quienes por sus condiciones de pobreza o marginación se encuentren en clara desventaja social para emprender un juicio, y en materia penal tratándose del imputado y del ofendido o</w:t>
      </w:r>
      <w:r>
        <w:rPr>
          <w:spacing w:val="-6"/>
        </w:rPr>
        <w:t> </w:t>
      </w:r>
      <w:r>
        <w:rPr/>
        <w:t>víctima.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17-06-2016</w:t>
      </w:r>
    </w:p>
    <w:p>
      <w:pPr>
        <w:pStyle w:val="BodyText"/>
        <w:spacing w:before="1"/>
        <w:rPr>
          <w:rFonts w:ascii="Times New Roman"/>
          <w:i/>
        </w:rPr>
      </w:pPr>
    </w:p>
    <w:p>
      <w:pPr>
        <w:pStyle w:val="BodyText"/>
        <w:ind w:left="118" w:right="125" w:firstLine="288"/>
        <w:jc w:val="both"/>
      </w:pPr>
      <w:r>
        <w:rPr/>
        <w:t>Con la demanda de amparo adhesivo se correrá traslado a la parte contraria para que exprese lo que a su interés</w:t>
      </w:r>
      <w:r>
        <w:rPr>
          <w:spacing w:val="-3"/>
        </w:rPr>
        <w:t> </w:t>
      </w:r>
      <w:r>
        <w:rPr/>
        <w:t>convenga.</w:t>
      </w:r>
    </w:p>
    <w:p>
      <w:pPr>
        <w:pStyle w:val="BodyText"/>
        <w:spacing w:before="1"/>
      </w:pPr>
    </w:p>
    <w:p>
      <w:pPr>
        <w:pStyle w:val="BodyText"/>
        <w:ind w:left="118" w:right="124" w:firstLine="288"/>
        <w:jc w:val="both"/>
      </w:pPr>
      <w:r>
        <w:rPr/>
        <w:t>La falta de promoción del amparo adhesivo hará que precluya el derecho de quien obtuvo sentencia favorable para alegar posteriormente las violaciones procesales que se hayan cometido en su contra, siempre que haya estado en posibilidad de hacerlas valer.</w:t>
      </w:r>
    </w:p>
    <w:p>
      <w:pPr>
        <w:pStyle w:val="BodyText"/>
      </w:pPr>
    </w:p>
    <w:p>
      <w:pPr>
        <w:pStyle w:val="BodyText"/>
        <w:ind w:left="118" w:right="123" w:firstLine="288"/>
        <w:jc w:val="both"/>
      </w:pPr>
      <w:r>
        <w:rPr/>
        <w:t>El tribunal colegiado de circuito, respetando la lógica y las reglas fundamentales que norman el procedimiento en el juicio de amparo, procurará resolver integralmente el asunto para evitar, en lo posible, la prolongación de la controversia.</w:t>
      </w:r>
    </w:p>
    <w:p>
      <w:pPr>
        <w:pStyle w:val="BodyText"/>
        <w:spacing w:before="8"/>
        <w:rPr>
          <w:sz w:val="19"/>
        </w:rPr>
      </w:pPr>
    </w:p>
    <w:p>
      <w:pPr>
        <w:pStyle w:val="BodyText"/>
        <w:spacing w:line="242" w:lineRule="auto" w:before="1"/>
        <w:ind w:left="118" w:right="124" w:firstLine="288"/>
        <w:jc w:val="both"/>
      </w:pPr>
      <w:bookmarkStart w:name="Artículo_183" w:id="183"/>
      <w:bookmarkEnd w:id="183"/>
      <w:r>
        <w:rPr/>
      </w:r>
      <w:r>
        <w:rPr>
          <w:b/>
        </w:rPr>
        <w:t>Artículo 183. </w:t>
      </w:r>
      <w:r>
        <w:rPr/>
        <w:t>Transcurridos los plazos a que se refiere el artículo 181, dentro de los tres días siguientes el presidente del tribunal colegiado turnará el expediente al magistrado ponente que</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pPr>
      <w:r>
        <w:rPr/>
        <w:t>corresponda, a efecto de que formule el proyecto de resolución, dentro de los noventa días siguientes. El auto de turno hace las veces de citación para sentencia.</w:t>
      </w:r>
    </w:p>
    <w:p>
      <w:pPr>
        <w:pStyle w:val="BodyText"/>
        <w:spacing w:before="11"/>
        <w:rPr>
          <w:sz w:val="19"/>
        </w:rPr>
      </w:pPr>
    </w:p>
    <w:p>
      <w:pPr>
        <w:pStyle w:val="BodyText"/>
        <w:ind w:left="118" w:right="119" w:firstLine="288"/>
        <w:jc w:val="both"/>
      </w:pPr>
      <w:bookmarkStart w:name="Artículo_184" w:id="184"/>
      <w:bookmarkEnd w:id="184"/>
      <w:r>
        <w:rPr/>
      </w:r>
      <w:r>
        <w:rPr>
          <w:b/>
        </w:rPr>
        <w:t>Artículo 184. </w:t>
      </w:r>
      <w:r>
        <w:rPr/>
        <w:t>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pPr>
        <w:pStyle w:val="BodyText"/>
        <w:spacing w:before="2"/>
      </w:pPr>
    </w:p>
    <w:p>
      <w:pPr>
        <w:pStyle w:val="BodyText"/>
        <w:ind w:left="118" w:right="124" w:firstLine="288"/>
        <w:jc w:val="both"/>
      </w:pPr>
      <w:r>
        <w:rPr/>
        <w:t>Los asuntos se discutirán en el orden en que se listen, salvo casos de excepción a juicio del órgano jurisdiccional. Si fueran aprobados se procederá a la firma del engrose dentro de los diez días siguientes.</w:t>
      </w:r>
    </w:p>
    <w:p>
      <w:pPr>
        <w:pStyle w:val="BodyText"/>
        <w:spacing w:before="10"/>
        <w:rPr>
          <w:sz w:val="19"/>
        </w:rPr>
      </w:pPr>
    </w:p>
    <w:p>
      <w:pPr>
        <w:pStyle w:val="BodyText"/>
        <w:ind w:left="118" w:right="121" w:firstLine="288"/>
        <w:jc w:val="both"/>
      </w:pPr>
      <w:r>
        <w:rPr/>
        <w:t>De no ser aprobados, los asuntos sólo se podrán aplazar o retirar. En estos supuestos, se asentará a petición de quien y la causa que expuso. El asunto deberá listarse dentro de un plazo que no excederá de treinta días</w:t>
      </w:r>
      <w:r>
        <w:rPr>
          <w:spacing w:val="1"/>
        </w:rPr>
        <w:t> </w:t>
      </w:r>
      <w:r>
        <w:rPr/>
        <w:t>naturales.</w:t>
      </w:r>
    </w:p>
    <w:p>
      <w:pPr>
        <w:pStyle w:val="BodyText"/>
        <w:spacing w:before="9"/>
        <w:rPr>
          <w:sz w:val="19"/>
        </w:rPr>
      </w:pPr>
    </w:p>
    <w:p>
      <w:pPr>
        <w:pStyle w:val="BodyText"/>
        <w:ind w:left="118" w:right="116" w:firstLine="288"/>
        <w:jc w:val="both"/>
      </w:pPr>
      <w:bookmarkStart w:name="Artículo_185" w:id="185"/>
      <w:bookmarkEnd w:id="185"/>
      <w:r>
        <w:rPr/>
      </w:r>
      <w:r>
        <w:rPr>
          <w:b/>
        </w:rPr>
        <w:t>Artículo 185. </w:t>
      </w:r>
      <w:r>
        <w:rPr/>
        <w:t>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pPr>
        <w:pStyle w:val="BodyText"/>
      </w:pPr>
    </w:p>
    <w:p>
      <w:pPr>
        <w:pStyle w:val="BodyText"/>
        <w:spacing w:line="242" w:lineRule="auto"/>
        <w:ind w:left="118" w:right="122" w:firstLine="288"/>
        <w:jc w:val="both"/>
      </w:pPr>
      <w:bookmarkStart w:name="Artículo_186" w:id="186"/>
      <w:bookmarkEnd w:id="186"/>
      <w:r>
        <w:rPr/>
      </w:r>
      <w:r>
        <w:rPr>
          <w:b/>
        </w:rPr>
        <w:t>Artículo 186. </w:t>
      </w:r>
      <w:r>
        <w:rPr/>
        <w:t>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pPr>
        <w:pStyle w:val="BodyText"/>
        <w:spacing w:before="7"/>
        <w:rPr>
          <w:sz w:val="19"/>
        </w:rPr>
      </w:pPr>
    </w:p>
    <w:p>
      <w:pPr>
        <w:pStyle w:val="BodyText"/>
        <w:ind w:left="118" w:right="123" w:firstLine="288"/>
        <w:jc w:val="both"/>
      </w:pPr>
      <w:r>
        <w:rPr/>
        <w:t>Transcurrido el plazo señalado en el párrafo anterior sin que se haya emitido el voto particular, se asentará razón en autos y se continuará el trámite correspondiente.</w:t>
      </w:r>
    </w:p>
    <w:p>
      <w:pPr>
        <w:pStyle w:val="BodyText"/>
        <w:spacing w:before="8"/>
        <w:rPr>
          <w:sz w:val="19"/>
        </w:rPr>
      </w:pPr>
    </w:p>
    <w:p>
      <w:pPr>
        <w:pStyle w:val="BodyText"/>
        <w:spacing w:line="242" w:lineRule="auto"/>
        <w:ind w:left="118" w:right="124" w:firstLine="288"/>
        <w:jc w:val="both"/>
      </w:pPr>
      <w:bookmarkStart w:name="Artículo_187" w:id="187"/>
      <w:bookmarkEnd w:id="187"/>
      <w:r>
        <w:rPr/>
      </w:r>
      <w:r>
        <w:rPr>
          <w:b/>
        </w:rPr>
        <w:t>Artículo 187. </w:t>
      </w:r>
      <w:r>
        <w:rPr/>
        <w:t>Si no fuera aprobado el proyecto, pero el magistrado ponente aceptare las adiciones o reformas propuestas en la sesión, procederá a redactar la sentencia con base en los términos de la discusión.</w:t>
      </w:r>
    </w:p>
    <w:p>
      <w:pPr>
        <w:pStyle w:val="BodyText"/>
        <w:spacing w:before="7"/>
        <w:rPr>
          <w:sz w:val="19"/>
        </w:rPr>
      </w:pPr>
    </w:p>
    <w:p>
      <w:pPr>
        <w:pStyle w:val="BodyText"/>
        <w:ind w:left="118" w:right="127" w:firstLine="288"/>
        <w:jc w:val="both"/>
      </w:pPr>
      <w:r>
        <w:rPr/>
        <w:t>Si el voto de la mayoría de los magistrados fuera en sentido distinto al del proyecto, uno de ellos redactará la sentencia.</w:t>
      </w:r>
    </w:p>
    <w:p>
      <w:pPr>
        <w:pStyle w:val="BodyText"/>
        <w:spacing w:before="1"/>
      </w:pPr>
    </w:p>
    <w:p>
      <w:pPr>
        <w:pStyle w:val="BodyText"/>
        <w:ind w:left="118" w:right="123" w:firstLine="288"/>
        <w:jc w:val="both"/>
      </w:pPr>
      <w:r>
        <w:rPr/>
        <w:t>En ambos casos el plazo para redactar la sentencia será de diez días, debiendo quedar en autos constancia del proyecto original.</w:t>
      </w:r>
    </w:p>
    <w:p>
      <w:pPr>
        <w:pStyle w:val="BodyText"/>
        <w:spacing w:before="8"/>
        <w:rPr>
          <w:sz w:val="19"/>
        </w:rPr>
      </w:pPr>
    </w:p>
    <w:p>
      <w:pPr>
        <w:pStyle w:val="BodyText"/>
        <w:spacing w:line="242" w:lineRule="auto"/>
        <w:ind w:left="118" w:right="123" w:firstLine="288"/>
        <w:jc w:val="both"/>
      </w:pPr>
      <w:bookmarkStart w:name="Artículo_188" w:id="188"/>
      <w:bookmarkEnd w:id="188"/>
      <w:r>
        <w:rPr/>
      </w:r>
      <w:r>
        <w:rPr>
          <w:b/>
        </w:rPr>
        <w:t>Artículo 188. </w:t>
      </w:r>
      <w:r>
        <w:rPr/>
        <w:t>Las sentencias del tribunal deberán ser firmadas por todos sus integrantes y por el secretario de acuerdos.</w:t>
      </w:r>
    </w:p>
    <w:p>
      <w:pPr>
        <w:pStyle w:val="BodyText"/>
        <w:spacing w:before="10"/>
        <w:rPr>
          <w:sz w:val="19"/>
        </w:rPr>
      </w:pPr>
    </w:p>
    <w:p>
      <w:pPr>
        <w:pStyle w:val="BodyText"/>
        <w:spacing w:before="1"/>
        <w:ind w:left="118" w:right="116" w:firstLine="288"/>
        <w:jc w:val="both"/>
      </w:pPr>
      <w:r>
        <w:rP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pPr>
        <w:pStyle w:val="BodyText"/>
      </w:pPr>
    </w:p>
    <w:p>
      <w:pPr>
        <w:pStyle w:val="BodyText"/>
        <w:ind w:left="406"/>
      </w:pPr>
      <w:r>
        <w:rPr/>
        <w:t>Firmada la sentencia se notificará por lista a las partes.</w:t>
      </w:r>
    </w:p>
    <w:p>
      <w:pPr>
        <w:pStyle w:val="BodyText"/>
        <w:spacing w:before="10"/>
        <w:rPr>
          <w:sz w:val="19"/>
        </w:rPr>
      </w:pPr>
    </w:p>
    <w:p>
      <w:pPr>
        <w:pStyle w:val="BodyText"/>
        <w:ind w:left="118" w:right="115" w:firstLine="288"/>
        <w:jc w:val="both"/>
      </w:pPr>
      <w:r>
        <w:rPr/>
        <w:t>En los casos en que proceda el recurso de revisión la notificación a las partes se hará en forma personal.</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4" w:firstLine="288"/>
        <w:jc w:val="both"/>
      </w:pPr>
      <w:r>
        <w:rPr/>
        <w:t>Para los efectos del párrafo anterior, la autoridad responsable solo será notificada al proveerse la remisión de los autos a la Suprema Corte de Justicia de la Nación o haya transcurrido el plazo para interponer el recurso.</w:t>
      </w:r>
    </w:p>
    <w:p>
      <w:pPr>
        <w:pStyle w:val="BodyText"/>
        <w:spacing w:before="9"/>
        <w:rPr>
          <w:sz w:val="19"/>
        </w:rPr>
      </w:pPr>
    </w:p>
    <w:p>
      <w:pPr>
        <w:pStyle w:val="BodyText"/>
        <w:ind w:left="118" w:right="119" w:firstLine="288"/>
        <w:jc w:val="both"/>
      </w:pPr>
      <w:bookmarkStart w:name="Artículo_189" w:id="189"/>
      <w:bookmarkEnd w:id="189"/>
      <w:r>
        <w:rPr/>
      </w:r>
      <w:r>
        <w:rPr>
          <w:b/>
        </w:rPr>
        <w:t>Artículo 189. </w:t>
      </w:r>
      <w:r>
        <w:rPr/>
        <w:t>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w:t>
      </w:r>
      <w:r>
        <w:rPr>
          <w:spacing w:val="1"/>
        </w:rPr>
        <w:t> </w:t>
      </w:r>
      <w:r>
        <w:rPr/>
        <w:t>quejoso.</w:t>
      </w:r>
    </w:p>
    <w:p>
      <w:pPr>
        <w:pStyle w:val="BodyText"/>
        <w:spacing w:before="2"/>
      </w:pPr>
    </w:p>
    <w:p>
      <w:pPr>
        <w:pStyle w:val="BodyText"/>
        <w:ind w:left="118" w:right="121" w:firstLine="288"/>
        <w:jc w:val="both"/>
      </w:pPr>
      <w:r>
        <w:rPr/>
        <w:t>En los asuntos del orden penal, cuando se desprendan violaciones de fondo de las cuales pudiera derivarse la extinción de la acción persecutoria o la inocencia del quejoso, se le dará preferencia al estudio de aquéllas aún de oficio.</w:t>
      </w:r>
    </w:p>
    <w:p>
      <w:pPr>
        <w:pStyle w:val="BodyText"/>
        <w:spacing w:before="10"/>
        <w:rPr>
          <w:sz w:val="11"/>
        </w:rPr>
      </w:pPr>
    </w:p>
    <w:p>
      <w:pPr>
        <w:pStyle w:val="Heading1"/>
        <w:spacing w:before="94"/>
        <w:ind w:left="3114" w:right="3095" w:firstLine="904"/>
        <w:jc w:val="left"/>
      </w:pPr>
      <w:r>
        <w:rPr/>
        <w:t>Sección Cuarta Suspensión del Acto Reclamado</w:t>
      </w:r>
    </w:p>
    <w:p>
      <w:pPr>
        <w:pStyle w:val="BodyText"/>
        <w:spacing w:before="9"/>
        <w:rPr>
          <w:b/>
          <w:sz w:val="19"/>
        </w:rPr>
      </w:pPr>
    </w:p>
    <w:p>
      <w:pPr>
        <w:pStyle w:val="BodyText"/>
        <w:spacing w:line="242" w:lineRule="auto" w:before="1"/>
        <w:ind w:left="118" w:right="126" w:firstLine="288"/>
        <w:jc w:val="both"/>
      </w:pPr>
      <w:bookmarkStart w:name="Artículo_190" w:id="190"/>
      <w:bookmarkEnd w:id="190"/>
      <w:r>
        <w:rPr/>
      </w:r>
      <w:r>
        <w:rPr>
          <w:b/>
        </w:rPr>
        <w:t>Artículo 190. </w:t>
      </w:r>
      <w:r>
        <w:rPr/>
        <w:t>La autoridad responsable decidirá, en el plazo de veinticuatro horas a partir de la solicitud, sobre la suspensión del acto reclamado y los requisitos para su efectividad.</w:t>
      </w:r>
    </w:p>
    <w:p>
      <w:pPr>
        <w:pStyle w:val="BodyText"/>
        <w:spacing w:before="10"/>
        <w:rPr>
          <w:sz w:val="19"/>
        </w:rPr>
      </w:pPr>
    </w:p>
    <w:p>
      <w:pPr>
        <w:pStyle w:val="BodyText"/>
        <w:ind w:left="118" w:right="117" w:firstLine="288"/>
        <w:jc w:val="both"/>
      </w:pPr>
      <w:r>
        <w:rPr/>
        <w:t>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w:t>
      </w:r>
    </w:p>
    <w:p>
      <w:pPr>
        <w:pStyle w:val="BodyText"/>
      </w:pPr>
    </w:p>
    <w:p>
      <w:pPr>
        <w:pStyle w:val="BodyText"/>
        <w:ind w:left="118" w:right="126" w:firstLine="288"/>
        <w:jc w:val="both"/>
      </w:pPr>
      <w:r>
        <w:rPr/>
        <w:t>Son aplicables a la suspensión en amparo directo, salvo el caso de la materia penal, los artículos 125, 128, 129, 130, 132, 133, 134, 135, 136, 154 y 156 de esta Ley.</w:t>
      </w:r>
    </w:p>
    <w:p>
      <w:pPr>
        <w:pStyle w:val="BodyText"/>
        <w:spacing w:before="8"/>
        <w:rPr>
          <w:sz w:val="19"/>
        </w:rPr>
      </w:pPr>
    </w:p>
    <w:p>
      <w:pPr>
        <w:pStyle w:val="BodyText"/>
        <w:spacing w:line="242" w:lineRule="auto"/>
        <w:ind w:left="118" w:right="120" w:firstLine="288"/>
        <w:jc w:val="both"/>
      </w:pPr>
      <w:bookmarkStart w:name="Artículo_191" w:id="191"/>
      <w:bookmarkEnd w:id="191"/>
      <w:r>
        <w:rPr/>
      </w:r>
      <w:r>
        <w:rPr>
          <w:b/>
        </w:rPr>
        <w:t>Artículo 191. </w:t>
      </w:r>
      <w:r>
        <w:rPr/>
        <w:t>Cuando se trate de juicios del orden penal, la autoridad responsable con la sola presentación de la demanda, ordenará suspender de oficio y de plano la resolución reclamada. Si ésta comprende la pena de privación de libertad, la suspensión surtirá el efecto de que el quejoso quede a disposición del Órgano jurisdiccional de amparo, por mediación de la autoridad responsable.</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17-06-2016</w:t>
      </w:r>
    </w:p>
    <w:p>
      <w:pPr>
        <w:pStyle w:val="BodyText"/>
        <w:spacing w:before="9"/>
        <w:rPr>
          <w:rFonts w:ascii="Times New Roman"/>
          <w:i/>
          <w:sz w:val="11"/>
        </w:rPr>
      </w:pPr>
    </w:p>
    <w:p>
      <w:pPr>
        <w:pStyle w:val="Heading1"/>
        <w:spacing w:before="94"/>
        <w:ind w:left="603"/>
      </w:pPr>
      <w:r>
        <w:rPr/>
        <w:t>TÍTULO TERCERO</w:t>
      </w:r>
    </w:p>
    <w:p>
      <w:pPr>
        <w:spacing w:before="2"/>
        <w:ind w:left="607" w:right="603" w:firstLine="0"/>
        <w:jc w:val="center"/>
        <w:rPr>
          <w:b/>
          <w:sz w:val="22"/>
        </w:rPr>
      </w:pPr>
      <w:r>
        <w:rPr>
          <w:b/>
          <w:sz w:val="22"/>
        </w:rPr>
        <w:t>Cumplimiento y Ejecución</w:t>
      </w:r>
    </w:p>
    <w:p>
      <w:pPr>
        <w:pStyle w:val="BodyText"/>
        <w:spacing w:before="9"/>
        <w:rPr>
          <w:b/>
          <w:sz w:val="21"/>
        </w:rPr>
      </w:pPr>
    </w:p>
    <w:p>
      <w:pPr>
        <w:spacing w:before="0"/>
        <w:ind w:left="605" w:right="605" w:firstLine="0"/>
        <w:jc w:val="center"/>
        <w:rPr>
          <w:b/>
          <w:sz w:val="22"/>
        </w:rPr>
      </w:pPr>
      <w:r>
        <w:rPr>
          <w:b/>
          <w:sz w:val="22"/>
        </w:rPr>
        <w:t>CAPÍTULO I</w:t>
      </w:r>
    </w:p>
    <w:p>
      <w:pPr>
        <w:spacing w:before="2"/>
        <w:ind w:left="606" w:right="605" w:firstLine="0"/>
        <w:jc w:val="center"/>
        <w:rPr>
          <w:b/>
          <w:sz w:val="22"/>
        </w:rPr>
      </w:pPr>
      <w:r>
        <w:rPr>
          <w:b/>
          <w:sz w:val="22"/>
        </w:rPr>
        <w:t>Cumplimiento e Inejecución</w:t>
      </w:r>
    </w:p>
    <w:p>
      <w:pPr>
        <w:pStyle w:val="BodyText"/>
        <w:spacing w:before="10"/>
        <w:rPr>
          <w:b/>
          <w:sz w:val="19"/>
        </w:rPr>
      </w:pPr>
    </w:p>
    <w:p>
      <w:pPr>
        <w:pStyle w:val="BodyText"/>
        <w:ind w:left="118" w:right="119" w:firstLine="288"/>
        <w:jc w:val="both"/>
      </w:pPr>
      <w:bookmarkStart w:name="Artículo_192" w:id="192"/>
      <w:bookmarkEnd w:id="192"/>
      <w:r>
        <w:rPr/>
      </w:r>
      <w:r>
        <w:rPr>
          <w:b/>
        </w:rPr>
        <w:t>Artículo 192. </w:t>
      </w:r>
      <w:r>
        <w:rPr/>
        <w:t>Las ejecutorias de amparo deben ser puntualmente cumplidas. Al efecto, cuando cause ejecutoria la sentencia en que se haya concedido el amparo, o se reciba testimonio de la dictada en revisión, el juez de distrito o el tribunal unitario de circuito, si se trata de amparo indirecto, o el tribunal colegiado de circuito, tratándose de amparo directo, la notificarán sin demora a las partes.</w:t>
      </w:r>
    </w:p>
    <w:p>
      <w:pPr>
        <w:pStyle w:val="BodyText"/>
        <w:spacing w:before="3"/>
      </w:pPr>
    </w:p>
    <w:p>
      <w:pPr>
        <w:pStyle w:val="BodyText"/>
        <w:ind w:left="118" w:right="119" w:firstLine="288"/>
        <w:jc w:val="both"/>
      </w:pPr>
      <w:r>
        <w:rP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16" w:firstLine="288"/>
        <w:jc w:val="both"/>
      </w:pPr>
      <w:r>
        <w:rP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w:t>
      </w:r>
      <w:r>
        <w:rPr>
          <w:spacing w:val="2"/>
        </w:rPr>
        <w:t>que </w:t>
      </w:r>
      <w:r>
        <w:rPr/>
        <w:t>incurrirá en las mismas responsabilidades de la autoridad responsable. El Presidente de la República no podrá ser considerado autoridad responsable o superior</w:t>
      </w:r>
      <w:r>
        <w:rPr>
          <w:spacing w:val="-5"/>
        </w:rPr>
        <w:t> </w:t>
      </w:r>
      <w:r>
        <w:rPr/>
        <w:t>jerárquico.</w:t>
      </w:r>
    </w:p>
    <w:p>
      <w:pPr>
        <w:pStyle w:val="BodyText"/>
        <w:spacing w:before="1"/>
      </w:pPr>
    </w:p>
    <w:p>
      <w:pPr>
        <w:pStyle w:val="BodyText"/>
        <w:ind w:left="118" w:right="114" w:firstLine="288"/>
        <w:jc w:val="both"/>
      </w:pPr>
      <w:r>
        <w:rP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pPr>
        <w:pStyle w:val="BodyText"/>
        <w:spacing w:before="9"/>
        <w:rPr>
          <w:sz w:val="19"/>
        </w:rPr>
      </w:pPr>
    </w:p>
    <w:p>
      <w:pPr>
        <w:pStyle w:val="BodyText"/>
        <w:ind w:left="118" w:right="122" w:firstLine="288"/>
        <w:jc w:val="both"/>
      </w:pPr>
      <w:bookmarkStart w:name="Artículo_193" w:id="193"/>
      <w:bookmarkEnd w:id="193"/>
      <w:r>
        <w:rPr/>
      </w:r>
      <w:r>
        <w:rPr>
          <w:b/>
        </w:rPr>
        <w:t>Artículo 193. </w:t>
      </w:r>
      <w:r>
        <w:rPr/>
        <w:t>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pPr>
        <w:pStyle w:val="BodyText"/>
        <w:spacing w:before="3"/>
      </w:pPr>
    </w:p>
    <w:p>
      <w:pPr>
        <w:pStyle w:val="BodyText"/>
        <w:ind w:left="118" w:right="118" w:firstLine="288"/>
        <w:jc w:val="both"/>
      </w:pPr>
      <w:r>
        <w:rPr/>
        <w:t>Se considerará incumplimiento el retraso por medio de evasivas o procedimientos ilegales de la autoridad responsable, o de cualquiera otra que intervenga en el trámite relativo.</w:t>
      </w:r>
    </w:p>
    <w:p>
      <w:pPr>
        <w:pStyle w:val="BodyText"/>
        <w:spacing w:before="10"/>
        <w:rPr>
          <w:sz w:val="19"/>
        </w:rPr>
      </w:pPr>
    </w:p>
    <w:p>
      <w:pPr>
        <w:pStyle w:val="BodyText"/>
        <w:ind w:left="118" w:right="121" w:firstLine="288"/>
        <w:jc w:val="both"/>
      </w:pPr>
      <w:r>
        <w:rP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pPr>
        <w:pStyle w:val="BodyText"/>
        <w:spacing w:before="2"/>
      </w:pPr>
    </w:p>
    <w:p>
      <w:pPr>
        <w:pStyle w:val="BodyText"/>
        <w:ind w:left="118" w:right="114" w:firstLine="288"/>
        <w:jc w:val="both"/>
      </w:pPr>
      <w:r>
        <w:rPr/>
        <w:t>En el supuesto de que sea necesario precisar, definir o concretar la forma o términos del cumplimiento de la ejecutoria, cualquiera de los órganos judiciales competentes podrá ordenar, de oficio o a petición de parte, que se abra un incidente para tal efecto.</w:t>
      </w:r>
    </w:p>
    <w:p>
      <w:pPr>
        <w:pStyle w:val="BodyText"/>
      </w:pPr>
    </w:p>
    <w:p>
      <w:pPr>
        <w:pStyle w:val="BodyText"/>
        <w:ind w:left="118" w:right="118" w:firstLine="288"/>
        <w:jc w:val="both"/>
      </w:pPr>
      <w:r>
        <w:rPr/>
        <w:t>Al remitir los autos al tribunal colegiado de circuito, el juez de distrito o el tribunal unitario de circuito formará un expedientillo con las copias certificadas necesarias para seguir procurando el cumplimiento de la ejecutoria.</w:t>
      </w:r>
    </w:p>
    <w:p>
      <w:pPr>
        <w:pStyle w:val="BodyText"/>
        <w:spacing w:before="11"/>
        <w:rPr>
          <w:sz w:val="19"/>
        </w:rPr>
      </w:pPr>
    </w:p>
    <w:p>
      <w:pPr>
        <w:pStyle w:val="BodyText"/>
        <w:ind w:left="118" w:right="125" w:firstLine="288"/>
        <w:jc w:val="both"/>
      </w:pPr>
      <w:r>
        <w:rP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w:t>
      </w:r>
      <w:r>
        <w:rPr>
          <w:spacing w:val="-18"/>
        </w:rPr>
        <w:t> </w:t>
      </w:r>
      <w:r>
        <w:rPr/>
        <w:t>éstos.</w:t>
      </w:r>
    </w:p>
    <w:p>
      <w:pPr>
        <w:pStyle w:val="BodyText"/>
        <w:spacing w:before="11"/>
        <w:rPr>
          <w:sz w:val="19"/>
        </w:rPr>
      </w:pPr>
    </w:p>
    <w:p>
      <w:pPr>
        <w:pStyle w:val="BodyText"/>
        <w:ind w:left="118" w:right="124" w:firstLine="288"/>
        <w:jc w:val="both"/>
      </w:pPr>
      <w:r>
        <w:rP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w:t>
      </w:r>
      <w:r>
        <w:rPr>
          <w:spacing w:val="-18"/>
        </w:rPr>
        <w:t> </w:t>
      </w:r>
      <w:r>
        <w:rPr/>
        <w:t>jerárquico.</w:t>
      </w:r>
    </w:p>
    <w:p>
      <w:pPr>
        <w:pStyle w:val="BodyText"/>
        <w:spacing w:before="9"/>
        <w:rPr>
          <w:sz w:val="19"/>
        </w:rPr>
      </w:pPr>
    </w:p>
    <w:p>
      <w:pPr>
        <w:pStyle w:val="BodyText"/>
        <w:spacing w:line="242" w:lineRule="auto"/>
        <w:ind w:left="118" w:right="116" w:firstLine="288"/>
        <w:jc w:val="both"/>
      </w:pPr>
      <w:bookmarkStart w:name="Artículo_194" w:id="194"/>
      <w:bookmarkEnd w:id="194"/>
      <w:r>
        <w:rPr/>
      </w:r>
      <w:r>
        <w:rPr>
          <w:b/>
        </w:rPr>
        <w:t>Artículo 194. </w:t>
      </w:r>
      <w:r>
        <w:rPr/>
        <w:t>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w:t>
      </w:r>
      <w:r>
        <w:rPr>
          <w:spacing w:val="-2"/>
        </w:rPr>
        <w:t> </w:t>
      </w:r>
      <w:r>
        <w:rPr/>
        <w:t>misma.</w:t>
      </w:r>
    </w:p>
    <w:p>
      <w:pPr>
        <w:pStyle w:val="BodyText"/>
        <w:spacing w:before="7"/>
        <w:rPr>
          <w:sz w:val="19"/>
        </w:rPr>
      </w:pPr>
    </w:p>
    <w:p>
      <w:pPr>
        <w:pStyle w:val="BodyText"/>
        <w:ind w:left="118" w:right="125" w:firstLine="288"/>
        <w:jc w:val="both"/>
      </w:pPr>
      <w:r>
        <w:rPr/>
        <w:t>La autoridad requerida como superior jerárquico, incurre en responsabilidad por falta de cumplimiento de las sentencias, en los términos que las autoridades contra cuyos actos se hubiere concedido el amparo.</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16" w:firstLine="288"/>
        <w:jc w:val="both"/>
      </w:pPr>
      <w:bookmarkStart w:name="Artículo_195" w:id="195"/>
      <w:bookmarkEnd w:id="195"/>
      <w:r>
        <w:rPr/>
      </w:r>
      <w:r>
        <w:rPr>
          <w:b/>
        </w:rPr>
        <w:t>Artículo 195. </w:t>
      </w:r>
      <w:r>
        <w:rPr/>
        <w:t>El cumplimiento extemporáneo de la ejecutoria de amparo, si es injustificado, no exime de responsabilidad a la autoridad responsable ni, en su caso, a su superior jerárquico, pero se tomará en consideración como atenuante al imponer la sanción penal.</w:t>
      </w:r>
    </w:p>
    <w:p>
      <w:pPr>
        <w:pStyle w:val="BodyText"/>
        <w:spacing w:before="4"/>
        <w:rPr>
          <w:sz w:val="19"/>
        </w:rPr>
      </w:pPr>
    </w:p>
    <w:p>
      <w:pPr>
        <w:pStyle w:val="BodyText"/>
        <w:ind w:left="118" w:right="120" w:firstLine="288"/>
        <w:jc w:val="both"/>
      </w:pPr>
      <w:bookmarkStart w:name="Artículo_196" w:id="196"/>
      <w:bookmarkEnd w:id="196"/>
      <w:r>
        <w:rPr/>
      </w:r>
      <w:r>
        <w:rPr>
          <w:b/>
        </w:rPr>
        <w:t>Artículo 196. </w:t>
      </w:r>
      <w:r>
        <w:rPr/>
        <w:t>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w:t>
      </w:r>
      <w:r>
        <w:rPr>
          <w:spacing w:val="-2"/>
        </w:rPr>
        <w:t> </w:t>
      </w:r>
      <w:r>
        <w:rPr/>
        <w:t>interés.</w:t>
      </w:r>
    </w:p>
    <w:p>
      <w:pPr>
        <w:pStyle w:val="BodyText"/>
        <w:spacing w:before="3"/>
      </w:pPr>
    </w:p>
    <w:p>
      <w:pPr>
        <w:pStyle w:val="BodyText"/>
        <w:ind w:left="118" w:right="126" w:firstLine="288"/>
        <w:jc w:val="both"/>
      </w:pPr>
      <w:r>
        <w:rPr/>
        <w:t>Transcurrido el plazo dado a las partes, con desahogo de la vista o sin ella, el órgano judicial de amparo dictará resolución fundada y motivada en que declare si la sentencia está cumplida o no lo está, si incurrió en exceso o defecto, o si hay imposibilidad para</w:t>
      </w:r>
      <w:r>
        <w:rPr>
          <w:spacing w:val="-12"/>
        </w:rPr>
        <w:t> </w:t>
      </w:r>
      <w:r>
        <w:rPr/>
        <w:t>cumplirla.</w:t>
      </w:r>
    </w:p>
    <w:p>
      <w:pPr>
        <w:pStyle w:val="BodyText"/>
      </w:pPr>
    </w:p>
    <w:p>
      <w:pPr>
        <w:pStyle w:val="BodyText"/>
        <w:ind w:left="406"/>
      </w:pPr>
      <w:r>
        <w:rPr/>
        <w:t>La ejecutoria se entiende cumplida cuando lo sea en su totalidad, sin excesos ni defectos.</w:t>
      </w:r>
    </w:p>
    <w:p>
      <w:pPr>
        <w:pStyle w:val="BodyText"/>
      </w:pPr>
    </w:p>
    <w:p>
      <w:pPr>
        <w:pStyle w:val="BodyText"/>
        <w:spacing w:before="1"/>
        <w:ind w:left="118" w:right="125" w:firstLine="288"/>
        <w:jc w:val="both"/>
      </w:pPr>
      <w:r>
        <w:rPr/>
        <w:t>Si en estos términos el órgano judicial de amparo la declara cumplida, ordenará el archivo del expediente.</w:t>
      </w:r>
    </w:p>
    <w:p>
      <w:pPr>
        <w:pStyle w:val="BodyText"/>
        <w:spacing w:before="1"/>
      </w:pPr>
    </w:p>
    <w:p>
      <w:pPr>
        <w:pStyle w:val="BodyText"/>
        <w:ind w:left="118" w:right="123" w:firstLine="288"/>
        <w:jc w:val="both"/>
      </w:pPr>
      <w:r>
        <w:rP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pPr>
        <w:pStyle w:val="BodyText"/>
        <w:spacing w:before="8"/>
        <w:rPr>
          <w:sz w:val="19"/>
        </w:rPr>
      </w:pPr>
    </w:p>
    <w:p>
      <w:pPr>
        <w:pStyle w:val="BodyText"/>
        <w:spacing w:line="242" w:lineRule="auto"/>
        <w:ind w:left="118" w:right="123" w:firstLine="288"/>
        <w:jc w:val="both"/>
      </w:pPr>
      <w:bookmarkStart w:name="Artículo_197" w:id="197"/>
      <w:bookmarkEnd w:id="197"/>
      <w:r>
        <w:rPr/>
      </w:r>
      <w:r>
        <w:rPr>
          <w:b/>
        </w:rPr>
        <w:t>Artículo 197. </w:t>
      </w:r>
      <w:r>
        <w:rPr/>
        <w:t>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pPr>
        <w:pStyle w:val="BodyText"/>
        <w:spacing w:before="4"/>
        <w:rPr>
          <w:sz w:val="19"/>
        </w:rPr>
      </w:pPr>
    </w:p>
    <w:p>
      <w:pPr>
        <w:pStyle w:val="BodyText"/>
        <w:spacing w:line="242" w:lineRule="auto"/>
        <w:ind w:left="118" w:right="124" w:firstLine="288"/>
        <w:jc w:val="both"/>
      </w:pPr>
      <w:bookmarkStart w:name="Artículo_198" w:id="198"/>
      <w:bookmarkEnd w:id="198"/>
      <w:r>
        <w:rPr/>
      </w:r>
      <w:r>
        <w:rPr>
          <w:b/>
        </w:rPr>
        <w:t>Artículo 198. </w:t>
      </w:r>
      <w:r>
        <w:rPr/>
        <w:t>Recibidos los autos en la Suprema Corte de Justicia de la Nación, dictará a la brevedad posible la resolución que corresponda.</w:t>
      </w:r>
    </w:p>
    <w:p>
      <w:pPr>
        <w:pStyle w:val="BodyText"/>
        <w:spacing w:before="11"/>
        <w:rPr>
          <w:sz w:val="19"/>
        </w:rPr>
      </w:pPr>
    </w:p>
    <w:p>
      <w:pPr>
        <w:pStyle w:val="BodyText"/>
        <w:ind w:left="118" w:right="124" w:firstLine="288"/>
        <w:jc w:val="both"/>
      </w:pPr>
      <w:r>
        <w:rP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pPr>
        <w:pStyle w:val="BodyText"/>
        <w:spacing w:before="11"/>
        <w:rPr>
          <w:sz w:val="19"/>
        </w:rPr>
      </w:pPr>
    </w:p>
    <w:p>
      <w:pPr>
        <w:pStyle w:val="BodyText"/>
        <w:ind w:left="118" w:right="128" w:firstLine="288"/>
        <w:jc w:val="both"/>
      </w:pPr>
      <w:r>
        <w:rPr/>
        <w:t>Cuando estime que el retraso en el cumplimiento es justificado, dará un plazo razonable a la autoridad responsable para que cumpla, el que podrá ampliarse a solicitud fundada de la autoridad.</w:t>
      </w:r>
    </w:p>
    <w:p>
      <w:pPr>
        <w:pStyle w:val="BodyText"/>
        <w:spacing w:before="10"/>
        <w:rPr>
          <w:sz w:val="19"/>
        </w:rPr>
      </w:pPr>
    </w:p>
    <w:p>
      <w:pPr>
        <w:pStyle w:val="BodyText"/>
        <w:ind w:left="118" w:right="114" w:firstLine="288"/>
        <w:jc w:val="both"/>
      </w:pPr>
      <w:r>
        <w:rP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pPr>
        <w:pStyle w:val="BodyText"/>
        <w:spacing w:before="2"/>
      </w:pPr>
    </w:p>
    <w:p>
      <w:pPr>
        <w:pStyle w:val="BodyText"/>
        <w:ind w:left="118" w:right="115" w:firstLine="288"/>
        <w:jc w:val="both"/>
      </w:pPr>
      <w:r>
        <w:rP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pPr>
        <w:pStyle w:val="BodyText"/>
        <w:spacing w:before="8"/>
        <w:rPr>
          <w:sz w:val="11"/>
        </w:rPr>
      </w:pPr>
    </w:p>
    <w:p>
      <w:pPr>
        <w:pStyle w:val="Heading1"/>
        <w:spacing w:before="93"/>
      </w:pPr>
      <w:r>
        <w:rPr/>
        <w:t>CAPÍTULO II</w:t>
      </w:r>
    </w:p>
    <w:p>
      <w:pPr>
        <w:spacing w:after="0"/>
        <w:sectPr>
          <w:pgSz w:w="12240" w:h="15840"/>
          <w:pgMar w:header="708" w:footer="712" w:top="1760" w:bottom="900" w:left="1300" w:right="1300"/>
        </w:sectPr>
      </w:pPr>
    </w:p>
    <w:p>
      <w:pPr>
        <w:pStyle w:val="BodyText"/>
        <w:spacing w:before="5"/>
        <w:rPr>
          <w:b/>
          <w:sz w:val="27"/>
        </w:rPr>
      </w:pPr>
    </w:p>
    <w:p>
      <w:pPr>
        <w:spacing w:before="93"/>
        <w:ind w:left="607" w:right="603" w:firstLine="0"/>
        <w:jc w:val="center"/>
        <w:rPr>
          <w:b/>
          <w:sz w:val="22"/>
        </w:rPr>
      </w:pPr>
      <w:r>
        <w:rPr>
          <w:b/>
          <w:sz w:val="22"/>
        </w:rPr>
        <w:t>Repetición del Acto Reclamado</w:t>
      </w:r>
    </w:p>
    <w:p>
      <w:pPr>
        <w:pStyle w:val="BodyText"/>
        <w:spacing w:before="11"/>
        <w:rPr>
          <w:b/>
          <w:sz w:val="19"/>
        </w:rPr>
      </w:pPr>
    </w:p>
    <w:p>
      <w:pPr>
        <w:pStyle w:val="BodyText"/>
        <w:spacing w:line="242" w:lineRule="auto"/>
        <w:ind w:left="118" w:right="122" w:firstLine="288"/>
        <w:jc w:val="both"/>
      </w:pPr>
      <w:bookmarkStart w:name="Artículo_199" w:id="199"/>
      <w:bookmarkEnd w:id="199"/>
      <w:r>
        <w:rPr/>
      </w:r>
      <w:r>
        <w:rPr>
          <w:b/>
        </w:rPr>
        <w:t>Artículo 199. </w:t>
      </w:r>
      <w:r>
        <w:rPr/>
        <w:t>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w:t>
      </w:r>
      <w:r>
        <w:rPr>
          <w:spacing w:val="2"/>
        </w:rPr>
        <w:t> </w:t>
      </w:r>
      <w:r>
        <w:rPr/>
        <w:t>días.</w:t>
      </w:r>
    </w:p>
    <w:p>
      <w:pPr>
        <w:pStyle w:val="BodyText"/>
        <w:spacing w:before="4"/>
        <w:rPr>
          <w:sz w:val="19"/>
        </w:rPr>
      </w:pPr>
    </w:p>
    <w:p>
      <w:pPr>
        <w:pStyle w:val="BodyText"/>
        <w:ind w:left="118" w:right="115" w:firstLine="288"/>
        <w:jc w:val="both"/>
      </w:pPr>
      <w:r>
        <w:rP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pPr>
        <w:pStyle w:val="BodyText"/>
        <w:spacing w:before="2"/>
      </w:pPr>
    </w:p>
    <w:p>
      <w:pPr>
        <w:pStyle w:val="BodyText"/>
        <w:ind w:left="118" w:right="119" w:firstLine="288"/>
        <w:jc w:val="both"/>
      </w:pPr>
      <w:r>
        <w:rPr/>
        <w:t>Si la autoridad responsable deja sin efecto el acto repetitivo, ello no la exime de responsabilidad si actuó dolosamente al repetir el acto reclamado, pero será atenuante en la aplicación de la sanción penal.</w:t>
      </w:r>
    </w:p>
    <w:p>
      <w:pPr>
        <w:pStyle w:val="BodyText"/>
        <w:spacing w:before="9"/>
        <w:rPr>
          <w:sz w:val="19"/>
        </w:rPr>
      </w:pPr>
    </w:p>
    <w:p>
      <w:pPr>
        <w:pStyle w:val="BodyText"/>
        <w:spacing w:line="242" w:lineRule="auto"/>
        <w:ind w:left="118" w:right="114" w:firstLine="288"/>
        <w:jc w:val="both"/>
      </w:pPr>
      <w:bookmarkStart w:name="Artículo_200" w:id="200"/>
      <w:bookmarkEnd w:id="200"/>
      <w:r>
        <w:rPr/>
      </w:r>
      <w:r>
        <w:rPr>
          <w:b/>
        </w:rPr>
        <w:t>Artículo 200. </w:t>
      </w:r>
      <w:r>
        <w:rPr/>
        <w:t>Recibidos los autos, la Suprema Corte de Justicia de la Nación determinará a la brevedad posible, si existe o no repetición del acto reclamado.</w:t>
      </w:r>
    </w:p>
    <w:p>
      <w:pPr>
        <w:pStyle w:val="BodyText"/>
        <w:spacing w:before="10"/>
        <w:rPr>
          <w:sz w:val="19"/>
        </w:rPr>
      </w:pPr>
    </w:p>
    <w:p>
      <w:pPr>
        <w:pStyle w:val="BodyText"/>
        <w:spacing w:before="1"/>
        <w:ind w:left="118" w:right="114" w:firstLine="288"/>
        <w:jc w:val="both"/>
      </w:pPr>
      <w:r>
        <w:rPr/>
        <w:t>En el primer supuesto, tomará en cuenta el proyecto del tribunal colegiado de circuito y procederá a separar de su cargo al titular de la autoridad responsable, así como a consignarlo ante juez de distrito por el delito que corresponda.</w:t>
      </w:r>
    </w:p>
    <w:p>
      <w:pPr>
        <w:pStyle w:val="BodyText"/>
        <w:spacing w:before="10"/>
        <w:rPr>
          <w:sz w:val="19"/>
        </w:rPr>
      </w:pPr>
    </w:p>
    <w:p>
      <w:pPr>
        <w:pStyle w:val="BodyText"/>
        <w:ind w:left="118" w:right="114" w:firstLine="288"/>
        <w:jc w:val="both"/>
      </w:pPr>
      <w:r>
        <w:rP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pPr>
        <w:pStyle w:val="BodyText"/>
        <w:spacing w:before="9"/>
        <w:rPr>
          <w:sz w:val="19"/>
        </w:rPr>
      </w:pPr>
    </w:p>
    <w:p>
      <w:pPr>
        <w:pStyle w:val="Heading1"/>
        <w:ind w:left="607"/>
      </w:pPr>
      <w:r>
        <w:rPr/>
        <w:t>CAPÍTULO III</w:t>
      </w:r>
    </w:p>
    <w:p>
      <w:pPr>
        <w:spacing w:before="2"/>
        <w:ind w:left="605" w:right="605" w:firstLine="0"/>
        <w:jc w:val="center"/>
        <w:rPr>
          <w:b/>
          <w:sz w:val="22"/>
        </w:rPr>
      </w:pPr>
      <w:r>
        <w:rPr>
          <w:b/>
          <w:sz w:val="22"/>
        </w:rPr>
        <w:t>Recurso de Inconformidad</w:t>
      </w:r>
    </w:p>
    <w:p>
      <w:pPr>
        <w:pStyle w:val="BodyText"/>
        <w:spacing w:before="10"/>
        <w:rPr>
          <w:b/>
          <w:sz w:val="19"/>
        </w:rPr>
      </w:pPr>
    </w:p>
    <w:p>
      <w:pPr>
        <w:pStyle w:val="BodyText"/>
        <w:ind w:left="406"/>
      </w:pPr>
      <w:bookmarkStart w:name="Artículo_201" w:id="201"/>
      <w:bookmarkEnd w:id="201"/>
      <w:r>
        <w:rPr/>
      </w:r>
      <w:r>
        <w:rPr>
          <w:b/>
        </w:rPr>
        <w:t>Artículo 201. </w:t>
      </w:r>
      <w:r>
        <w:rPr/>
        <w:t>El recurso de inconformidad procede contra la resolución que:</w:t>
      </w:r>
    </w:p>
    <w:p>
      <w:pPr>
        <w:pStyle w:val="BodyText"/>
        <w:spacing w:before="10"/>
        <w:rPr>
          <w:sz w:val="19"/>
        </w:rPr>
      </w:pPr>
    </w:p>
    <w:p>
      <w:pPr>
        <w:pStyle w:val="ListParagraph"/>
        <w:numPr>
          <w:ilvl w:val="0"/>
          <w:numId w:val="43"/>
        </w:numPr>
        <w:tabs>
          <w:tab w:pos="1005" w:val="left" w:leader="none"/>
        </w:tabs>
        <w:spacing w:line="240" w:lineRule="auto" w:before="0" w:after="0"/>
        <w:ind w:left="1004" w:right="0" w:hanging="167"/>
        <w:jc w:val="left"/>
        <w:rPr>
          <w:sz w:val="20"/>
        </w:rPr>
      </w:pPr>
      <w:r>
        <w:rPr>
          <w:sz w:val="20"/>
        </w:rPr>
        <w:t>Tenga por cumplida la ejecutoria de amparo, en los términos del artículo 196 de esta</w:t>
      </w:r>
      <w:r>
        <w:rPr>
          <w:spacing w:val="-10"/>
          <w:sz w:val="20"/>
        </w:rPr>
        <w:t> </w:t>
      </w:r>
      <w:r>
        <w:rPr>
          <w:sz w:val="20"/>
        </w:rPr>
        <w:t>Ley;</w:t>
      </w:r>
    </w:p>
    <w:p>
      <w:pPr>
        <w:pStyle w:val="BodyText"/>
        <w:spacing w:before="1"/>
      </w:pPr>
    </w:p>
    <w:p>
      <w:pPr>
        <w:pStyle w:val="ListParagraph"/>
        <w:numPr>
          <w:ilvl w:val="0"/>
          <w:numId w:val="43"/>
        </w:numPr>
        <w:tabs>
          <w:tab w:pos="1072" w:val="left" w:leader="none"/>
        </w:tabs>
        <w:spacing w:line="242" w:lineRule="auto" w:before="0" w:after="0"/>
        <w:ind w:left="838" w:right="125" w:firstLine="0"/>
        <w:jc w:val="left"/>
        <w:rPr>
          <w:sz w:val="20"/>
        </w:rPr>
      </w:pPr>
      <w:r>
        <w:rPr>
          <w:sz w:val="20"/>
        </w:rPr>
        <w:t>Declare que existe imposibilidad material o jurídica para cumplir la misma u ordene el archivo definitivo del</w:t>
      </w:r>
      <w:r>
        <w:rPr>
          <w:spacing w:val="-2"/>
          <w:sz w:val="20"/>
        </w:rPr>
        <w:t> </w:t>
      </w:r>
      <w:r>
        <w:rPr>
          <w:sz w:val="20"/>
        </w:rPr>
        <w:t>asunto;</w:t>
      </w:r>
    </w:p>
    <w:p>
      <w:pPr>
        <w:pStyle w:val="BodyText"/>
        <w:spacing w:before="8"/>
        <w:rPr>
          <w:sz w:val="19"/>
        </w:rPr>
      </w:pPr>
    </w:p>
    <w:p>
      <w:pPr>
        <w:pStyle w:val="ListParagraph"/>
        <w:numPr>
          <w:ilvl w:val="0"/>
          <w:numId w:val="43"/>
        </w:numPr>
        <w:tabs>
          <w:tab w:pos="1115" w:val="left" w:leader="none"/>
        </w:tabs>
        <w:spacing w:line="240" w:lineRule="auto" w:before="0" w:after="0"/>
        <w:ind w:left="1114" w:right="0" w:hanging="277"/>
        <w:jc w:val="left"/>
        <w:rPr>
          <w:sz w:val="20"/>
        </w:rPr>
      </w:pPr>
      <w:r>
        <w:rPr>
          <w:sz w:val="20"/>
        </w:rPr>
        <w:t>Declare sin materia o infundada la denuncia de repetición del acto reclamado;</w:t>
      </w:r>
      <w:r>
        <w:rPr>
          <w:spacing w:val="-7"/>
          <w:sz w:val="20"/>
        </w:rPr>
        <w:t> </w:t>
      </w:r>
      <w:r>
        <w:rPr>
          <w:sz w:val="20"/>
        </w:rPr>
        <w:t>o</w:t>
      </w:r>
    </w:p>
    <w:p>
      <w:pPr>
        <w:pStyle w:val="BodyText"/>
        <w:spacing w:before="10"/>
        <w:rPr>
          <w:sz w:val="19"/>
        </w:rPr>
      </w:pPr>
    </w:p>
    <w:p>
      <w:pPr>
        <w:pStyle w:val="ListParagraph"/>
        <w:numPr>
          <w:ilvl w:val="0"/>
          <w:numId w:val="43"/>
        </w:numPr>
        <w:tabs>
          <w:tab w:pos="1154" w:val="left" w:leader="none"/>
        </w:tabs>
        <w:spacing w:line="242" w:lineRule="auto" w:before="0" w:after="0"/>
        <w:ind w:left="838" w:right="122" w:firstLine="0"/>
        <w:jc w:val="left"/>
        <w:rPr>
          <w:sz w:val="20"/>
        </w:rPr>
      </w:pPr>
      <w:r>
        <w:rPr>
          <w:sz w:val="20"/>
        </w:rPr>
        <w:t>Declare infundada o improcedente la denuncia por incumplimiento de la declaratoria general de</w:t>
      </w:r>
      <w:r>
        <w:rPr>
          <w:spacing w:val="-2"/>
          <w:sz w:val="20"/>
        </w:rPr>
        <w:t> </w:t>
      </w:r>
      <w:r>
        <w:rPr>
          <w:sz w:val="20"/>
        </w:rPr>
        <w:t>inconstitucionalidad.</w:t>
      </w:r>
    </w:p>
    <w:p>
      <w:pPr>
        <w:pStyle w:val="BodyText"/>
        <w:spacing w:before="8"/>
        <w:rPr>
          <w:sz w:val="19"/>
        </w:rPr>
      </w:pPr>
    </w:p>
    <w:p>
      <w:pPr>
        <w:pStyle w:val="BodyText"/>
        <w:spacing w:before="1"/>
        <w:ind w:left="118" w:right="119" w:firstLine="288"/>
        <w:jc w:val="both"/>
      </w:pPr>
      <w:bookmarkStart w:name="Artículo_202" w:id="202"/>
      <w:bookmarkEnd w:id="202"/>
      <w:r>
        <w:rPr/>
      </w:r>
      <w:r>
        <w:rPr>
          <w:b/>
        </w:rPr>
        <w:t>Artículo 202. </w:t>
      </w:r>
      <w:r>
        <w:rPr/>
        <w:t>El recurso de inconformidad podrá interponerse por el quejoso o, en su caso, por el tercero interesado o el promovente de la denuncia a que se refiere el artículo 210 de esta Ley, mediante escrito presentado por conducto del órgano judicial que haya dictado la resolución impugnada, dentro del plazo de quince días contados a partir del siguiente al en que surta efectos la notificación.</w:t>
      </w:r>
    </w:p>
    <w:p>
      <w:pPr>
        <w:pStyle w:val="BodyText"/>
        <w:spacing w:before="2"/>
      </w:pPr>
    </w:p>
    <w:p>
      <w:pPr>
        <w:pStyle w:val="BodyText"/>
        <w:ind w:left="118" w:right="114" w:firstLine="288"/>
        <w:jc w:val="both"/>
      </w:pPr>
      <w:r>
        <w:rPr/>
        <w:t>La persona extraña a juicio que resulte afectada por el cumplimiento o ejecución de la sentencia 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del</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cumplimiento o ejecución indebidos de la ejecutoria en cuanto la afecten, pero no en contra de la ejecutoria misma.</w:t>
      </w:r>
    </w:p>
    <w:p>
      <w:pPr>
        <w:pStyle w:val="BodyText"/>
        <w:spacing w:before="1"/>
      </w:pPr>
    </w:p>
    <w:p>
      <w:pPr>
        <w:pStyle w:val="BodyText"/>
        <w:spacing w:before="1"/>
        <w:ind w:left="118" w:right="117" w:firstLine="288"/>
        <w:jc w:val="both"/>
      </w:pPr>
      <w:r>
        <w:rP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w:t>
      </w:r>
      <w:r>
        <w:rPr>
          <w:spacing w:val="1"/>
        </w:rPr>
        <w:t> </w:t>
      </w:r>
      <w:r>
        <w:rPr/>
        <w:t>tiempo.</w:t>
      </w:r>
    </w:p>
    <w:p>
      <w:pPr>
        <w:pStyle w:val="BodyText"/>
        <w:spacing w:before="7"/>
        <w:rPr>
          <w:sz w:val="19"/>
        </w:rPr>
      </w:pPr>
    </w:p>
    <w:p>
      <w:pPr>
        <w:pStyle w:val="BodyText"/>
        <w:spacing w:line="242" w:lineRule="auto"/>
        <w:ind w:left="118" w:right="124" w:firstLine="288"/>
        <w:jc w:val="both"/>
      </w:pPr>
      <w:bookmarkStart w:name="Artículo_203" w:id="203"/>
      <w:bookmarkEnd w:id="203"/>
      <w:r>
        <w:rPr/>
      </w:r>
      <w:r>
        <w:rPr>
          <w:b/>
        </w:rPr>
        <w:t>Artículo 203. </w:t>
      </w:r>
      <w:r>
        <w:rPr/>
        <w:t>El órgano jurisdiccional, sin decidir sobre la admisión del recurso de inconformidad, remitirá el original del escrito, así como los autos del juicio a la Suprema Corte de Justicia de la Nación, la cual resolverá allegándose los elementos que estime convenientes.</w:t>
      </w:r>
    </w:p>
    <w:p>
      <w:pPr>
        <w:pStyle w:val="BodyText"/>
        <w:spacing w:before="7"/>
        <w:rPr>
          <w:sz w:val="19"/>
        </w:rPr>
      </w:pPr>
    </w:p>
    <w:p>
      <w:pPr>
        <w:pStyle w:val="Heading1"/>
        <w:spacing w:line="252" w:lineRule="exact"/>
      </w:pPr>
      <w:r>
        <w:rPr/>
        <w:t>CAPÍTULO IV</w:t>
      </w:r>
    </w:p>
    <w:p>
      <w:pPr>
        <w:spacing w:line="252" w:lineRule="exact" w:before="0"/>
        <w:ind w:left="607" w:right="605" w:firstLine="0"/>
        <w:jc w:val="center"/>
        <w:rPr>
          <w:b/>
          <w:sz w:val="22"/>
        </w:rPr>
      </w:pPr>
      <w:r>
        <w:rPr>
          <w:b/>
          <w:sz w:val="22"/>
        </w:rPr>
        <w:t>Incidente de Cumplimiento Sustituto</w:t>
      </w:r>
    </w:p>
    <w:p>
      <w:pPr>
        <w:pStyle w:val="BodyText"/>
        <w:spacing w:before="11"/>
        <w:rPr>
          <w:b/>
          <w:sz w:val="19"/>
        </w:rPr>
      </w:pPr>
    </w:p>
    <w:p>
      <w:pPr>
        <w:pStyle w:val="BodyText"/>
        <w:spacing w:line="242" w:lineRule="auto"/>
        <w:ind w:left="118" w:right="117" w:firstLine="288"/>
        <w:jc w:val="both"/>
      </w:pPr>
      <w:bookmarkStart w:name="Artículo_204" w:id="204"/>
      <w:bookmarkEnd w:id="204"/>
      <w:r>
        <w:rPr/>
      </w:r>
      <w:r>
        <w:rPr>
          <w:b/>
        </w:rPr>
        <w:t>Artículo 204. </w:t>
      </w:r>
      <w:r>
        <w:rPr/>
        <w:t>El incidente de cumplimiento sustituto tendrá por efecto que la ejecutoria se dé por cumplida mediante el pago de los daños y perjuicios al quejoso.</w:t>
      </w:r>
    </w:p>
    <w:p>
      <w:pPr>
        <w:pStyle w:val="BodyText"/>
        <w:spacing w:before="8"/>
        <w:rPr>
          <w:sz w:val="19"/>
        </w:rPr>
      </w:pPr>
    </w:p>
    <w:p>
      <w:pPr>
        <w:pStyle w:val="BodyText"/>
        <w:spacing w:line="242" w:lineRule="auto"/>
        <w:ind w:left="118" w:right="123" w:firstLine="288"/>
        <w:jc w:val="both"/>
      </w:pPr>
      <w:bookmarkStart w:name="Artículo_205" w:id="205"/>
      <w:bookmarkEnd w:id="205"/>
      <w:r>
        <w:rPr/>
      </w:r>
      <w:r>
        <w:rPr>
          <w:b/>
        </w:rPr>
        <w:t>Artículo 205. </w:t>
      </w:r>
      <w:r>
        <w:rPr/>
        <w:t>El cumplimiento sustituto podrá ser solicitado por cualquiera de las partes o decretado de oficio por la Suprema Corte de Justicia de la Nación, en los casos en que:</w:t>
      </w:r>
    </w:p>
    <w:p>
      <w:pPr>
        <w:pStyle w:val="BodyText"/>
        <w:spacing w:before="5"/>
        <w:rPr>
          <w:sz w:val="19"/>
        </w:rPr>
      </w:pPr>
    </w:p>
    <w:p>
      <w:pPr>
        <w:pStyle w:val="ListParagraph"/>
        <w:numPr>
          <w:ilvl w:val="0"/>
          <w:numId w:val="44"/>
        </w:numPr>
        <w:tabs>
          <w:tab w:pos="1050" w:val="left" w:leader="none"/>
        </w:tabs>
        <w:spacing w:line="242" w:lineRule="auto" w:before="1" w:after="0"/>
        <w:ind w:left="838" w:right="127" w:firstLine="0"/>
        <w:jc w:val="left"/>
        <w:rPr>
          <w:sz w:val="20"/>
        </w:rPr>
      </w:pPr>
      <w:r>
        <w:rPr>
          <w:sz w:val="20"/>
        </w:rPr>
        <w:t>La ejecución de la sentencia afecte gravemente a la sociedad en mayor proporción a los beneficios que pudiera obtener el quejoso;</w:t>
      </w:r>
      <w:r>
        <w:rPr>
          <w:spacing w:val="-3"/>
          <w:sz w:val="20"/>
        </w:rPr>
        <w:t> </w:t>
      </w:r>
      <w:r>
        <w:rPr>
          <w:sz w:val="20"/>
        </w:rPr>
        <w:t>o</w:t>
      </w:r>
    </w:p>
    <w:p>
      <w:pPr>
        <w:pStyle w:val="BodyText"/>
        <w:spacing w:before="8"/>
        <w:rPr>
          <w:sz w:val="19"/>
        </w:rPr>
      </w:pPr>
    </w:p>
    <w:p>
      <w:pPr>
        <w:pStyle w:val="ListParagraph"/>
        <w:numPr>
          <w:ilvl w:val="0"/>
          <w:numId w:val="44"/>
        </w:numPr>
        <w:tabs>
          <w:tab w:pos="1084" w:val="left" w:leader="none"/>
        </w:tabs>
        <w:spacing w:line="242" w:lineRule="auto" w:before="0" w:after="0"/>
        <w:ind w:left="838" w:right="116" w:firstLine="0"/>
        <w:jc w:val="left"/>
        <w:rPr>
          <w:sz w:val="20"/>
        </w:rPr>
      </w:pPr>
      <w:r>
        <w:rPr>
          <w:sz w:val="20"/>
        </w:rPr>
        <w:t>Por las circunstancias materiales del caso, sea imposible o desproporcionadamente gravoso restituir las cosas a la situación que guardaban con anterioridad al</w:t>
      </w:r>
      <w:r>
        <w:rPr>
          <w:spacing w:val="-3"/>
          <w:sz w:val="20"/>
        </w:rPr>
        <w:t> </w:t>
      </w:r>
      <w:r>
        <w:rPr>
          <w:sz w:val="20"/>
        </w:rPr>
        <w:t>juicio.</w:t>
      </w:r>
    </w:p>
    <w:p>
      <w:pPr>
        <w:pStyle w:val="BodyText"/>
        <w:spacing w:before="8"/>
        <w:rPr>
          <w:sz w:val="19"/>
        </w:rPr>
      </w:pPr>
    </w:p>
    <w:p>
      <w:pPr>
        <w:pStyle w:val="BodyText"/>
        <w:ind w:left="118" w:right="129" w:firstLine="288"/>
        <w:jc w:val="both"/>
      </w:pPr>
      <w:r>
        <w:rPr/>
        <w:t>La solicitud podrá presentarse, según corresponda, ante la Suprema Corte de Justicia de la Nación o por conducto del órgano jurisdiccional a partir del momento en que cause ejecutoria la sentencia.</w:t>
      </w:r>
    </w:p>
    <w:p>
      <w:pPr>
        <w:pStyle w:val="BodyText"/>
        <w:spacing w:before="1"/>
      </w:pPr>
    </w:p>
    <w:p>
      <w:pPr>
        <w:pStyle w:val="BodyText"/>
        <w:spacing w:before="1"/>
        <w:ind w:left="118" w:right="126" w:firstLine="288"/>
        <w:jc w:val="both"/>
      </w:pPr>
      <w:r>
        <w:rPr/>
        <w:t>El cumplimiento sustituto se tramitará incidentalmente en los términos de los artículos 66 y 67 de esta Ley.</w:t>
      </w:r>
    </w:p>
    <w:p>
      <w:pPr>
        <w:pStyle w:val="BodyText"/>
        <w:spacing w:before="10"/>
        <w:rPr>
          <w:sz w:val="19"/>
        </w:rPr>
      </w:pPr>
    </w:p>
    <w:p>
      <w:pPr>
        <w:pStyle w:val="BodyText"/>
        <w:ind w:left="118" w:right="123" w:firstLine="288"/>
        <w:jc w:val="both"/>
      </w:pPr>
      <w:r>
        <w:rPr/>
        <w:t>Declarado procedente, el órgano jurisdiccional de amparo determinará la forma y cuantía de la restitución.</w:t>
      </w:r>
    </w:p>
    <w:p>
      <w:pPr>
        <w:pStyle w:val="BodyText"/>
        <w:spacing w:before="1"/>
      </w:pPr>
    </w:p>
    <w:p>
      <w:pPr>
        <w:pStyle w:val="BodyText"/>
        <w:ind w:left="118" w:right="115" w:firstLine="288"/>
        <w:jc w:val="both"/>
      </w:pPr>
      <w:r>
        <w:rP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w:t>
      </w:r>
      <w:r>
        <w:rPr>
          <w:spacing w:val="-7"/>
        </w:rPr>
        <w:t> </w:t>
      </w:r>
      <w:r>
        <w:rPr/>
        <w:t>expediente.</w:t>
      </w:r>
    </w:p>
    <w:p>
      <w:pPr>
        <w:pStyle w:val="BodyText"/>
        <w:spacing w:before="10"/>
        <w:rPr>
          <w:sz w:val="19"/>
        </w:rPr>
      </w:pPr>
    </w:p>
    <w:p>
      <w:pPr>
        <w:pStyle w:val="Heading1"/>
        <w:spacing w:line="252" w:lineRule="exact"/>
      </w:pPr>
      <w:r>
        <w:rPr/>
        <w:t>CAPÍTULO V</w:t>
      </w:r>
    </w:p>
    <w:p>
      <w:pPr>
        <w:spacing w:line="252" w:lineRule="exact" w:before="0"/>
        <w:ind w:left="607" w:right="604" w:firstLine="0"/>
        <w:jc w:val="center"/>
        <w:rPr>
          <w:b/>
          <w:sz w:val="22"/>
        </w:rPr>
      </w:pPr>
      <w:r>
        <w:rPr>
          <w:b/>
          <w:sz w:val="22"/>
        </w:rPr>
        <w:t>Incidente por Exceso o Defecto en el Cumplimiento de la Suspensión</w:t>
      </w:r>
    </w:p>
    <w:p>
      <w:pPr>
        <w:pStyle w:val="BodyText"/>
        <w:spacing w:before="10"/>
        <w:rPr>
          <w:b/>
          <w:sz w:val="19"/>
        </w:rPr>
      </w:pPr>
    </w:p>
    <w:p>
      <w:pPr>
        <w:pStyle w:val="BodyText"/>
        <w:spacing w:line="242" w:lineRule="auto" w:before="1"/>
        <w:ind w:left="118" w:right="115" w:firstLine="288"/>
        <w:jc w:val="both"/>
      </w:pPr>
      <w:bookmarkStart w:name="Artículo_206" w:id="206"/>
      <w:bookmarkEnd w:id="206"/>
      <w:r>
        <w:rPr/>
      </w:r>
      <w:r>
        <w:rPr>
          <w:b/>
        </w:rPr>
        <w:t>Artículo 206. </w:t>
      </w:r>
      <w:r>
        <w:rPr/>
        <w:t>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w:t>
      </w:r>
      <w:r>
        <w:rPr>
          <w:spacing w:val="-5"/>
        </w:rPr>
        <w:t> </w:t>
      </w:r>
      <w:r>
        <w:rPr/>
        <w:t>insuficiente.</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right="124" w:firstLine="288"/>
        <w:jc w:val="both"/>
      </w:pPr>
      <w:r>
        <w:rPr/>
        <w:t>Este incidente podrá promoverse en cualquier tiempo, mientras no cause ejecutoria la resolución que se dicte en el juicio de amparo.</w:t>
      </w:r>
    </w:p>
    <w:p>
      <w:pPr>
        <w:pStyle w:val="BodyText"/>
        <w:spacing w:before="11"/>
        <w:rPr>
          <w:sz w:val="19"/>
        </w:rPr>
      </w:pPr>
    </w:p>
    <w:p>
      <w:pPr>
        <w:pStyle w:val="BodyText"/>
        <w:ind w:left="118" w:right="119" w:firstLine="288"/>
        <w:jc w:val="both"/>
      </w:pPr>
      <w:bookmarkStart w:name="Artículo_207" w:id="207"/>
      <w:bookmarkEnd w:id="207"/>
      <w:r>
        <w:rPr/>
      </w:r>
      <w:r>
        <w:rPr>
          <w:b/>
        </w:rPr>
        <w:t>Artículo 207. </w:t>
      </w:r>
      <w:r>
        <w:rPr/>
        <w:t>El incidente se promoverá ante el juez de distrito o el tribunal unitario de circuito, si se trata de la suspensión concedida en amparo indirecto, y ante el presidente del tribunal colegiado de circuito si la suspensión fue concedida en amparo directo.</w:t>
      </w:r>
    </w:p>
    <w:p>
      <w:pPr>
        <w:pStyle w:val="BodyText"/>
        <w:spacing w:before="10"/>
        <w:rPr>
          <w:sz w:val="19"/>
        </w:rPr>
      </w:pPr>
    </w:p>
    <w:p>
      <w:pPr>
        <w:pStyle w:val="BodyText"/>
        <w:spacing w:before="1"/>
        <w:ind w:left="406"/>
      </w:pPr>
      <w:bookmarkStart w:name="Artículo_208" w:id="208"/>
      <w:bookmarkEnd w:id="208"/>
      <w:r>
        <w:rPr/>
      </w:r>
      <w:r>
        <w:rPr>
          <w:b/>
        </w:rPr>
        <w:t>Artículo 208. </w:t>
      </w:r>
      <w:r>
        <w:rPr/>
        <w:t>El incidente se tramitará de conformidad con las reglas siguientes:</w:t>
      </w:r>
    </w:p>
    <w:p>
      <w:pPr>
        <w:pStyle w:val="BodyText"/>
        <w:spacing w:before="9"/>
        <w:rPr>
          <w:sz w:val="19"/>
        </w:rPr>
      </w:pPr>
    </w:p>
    <w:p>
      <w:pPr>
        <w:pStyle w:val="ListParagraph"/>
        <w:numPr>
          <w:ilvl w:val="0"/>
          <w:numId w:val="45"/>
        </w:numPr>
        <w:tabs>
          <w:tab w:pos="1024" w:val="left" w:leader="none"/>
        </w:tabs>
        <w:spacing w:line="242" w:lineRule="auto" w:before="1" w:after="0"/>
        <w:ind w:left="838" w:right="125" w:firstLine="0"/>
        <w:jc w:val="both"/>
        <w:rPr>
          <w:sz w:val="20"/>
        </w:rPr>
      </w:pPr>
      <w:r>
        <w:rPr>
          <w:sz w:val="20"/>
        </w:rPr>
        <w:t>Se presentará por escrito, con copias para las partes, ante el órgano judicial correspondiente señalado en el artículo anterior; en el mismo escrito se ofrecerán las pruebas</w:t>
      </w:r>
      <w:r>
        <w:rPr>
          <w:spacing w:val="-16"/>
          <w:sz w:val="20"/>
        </w:rPr>
        <w:t> </w:t>
      </w:r>
      <w:r>
        <w:rPr>
          <w:sz w:val="20"/>
        </w:rPr>
        <w:t>relativas;</w:t>
      </w:r>
    </w:p>
    <w:p>
      <w:pPr>
        <w:pStyle w:val="BodyText"/>
        <w:spacing w:before="7"/>
        <w:rPr>
          <w:sz w:val="19"/>
        </w:rPr>
      </w:pPr>
    </w:p>
    <w:p>
      <w:pPr>
        <w:pStyle w:val="ListParagraph"/>
        <w:numPr>
          <w:ilvl w:val="0"/>
          <w:numId w:val="45"/>
        </w:numPr>
        <w:tabs>
          <w:tab w:pos="1113" w:val="left" w:leader="none"/>
        </w:tabs>
        <w:spacing w:line="242" w:lineRule="auto" w:before="1" w:after="0"/>
        <w:ind w:left="838" w:right="119" w:firstLine="0"/>
        <w:jc w:val="both"/>
        <w:rPr>
          <w:sz w:val="20"/>
        </w:rPr>
      </w:pPr>
      <w:r>
        <w:rPr>
          <w:sz w:val="20"/>
        </w:rPr>
        <w:t>El órgano judicial señalará fecha para la audiencia dentro de diez días y requerirá a la autoridad responsable para que rinda informe en el plazo de tres días. La falta o deficiencia del informe establece la presunción de ser cierta la conducta que se reclama;</w:t>
      </w:r>
      <w:r>
        <w:rPr>
          <w:spacing w:val="-9"/>
          <w:sz w:val="20"/>
        </w:rPr>
        <w:t> </w:t>
      </w:r>
      <w:r>
        <w:rPr>
          <w:sz w:val="20"/>
        </w:rPr>
        <w:t>y</w:t>
      </w:r>
    </w:p>
    <w:p>
      <w:pPr>
        <w:pStyle w:val="BodyText"/>
        <w:spacing w:before="4"/>
        <w:rPr>
          <w:sz w:val="19"/>
        </w:rPr>
      </w:pPr>
    </w:p>
    <w:p>
      <w:pPr>
        <w:pStyle w:val="ListParagraph"/>
        <w:numPr>
          <w:ilvl w:val="0"/>
          <w:numId w:val="45"/>
        </w:numPr>
        <w:tabs>
          <w:tab w:pos="1142" w:val="left" w:leader="none"/>
        </w:tabs>
        <w:spacing w:line="242" w:lineRule="auto" w:before="0" w:after="0"/>
        <w:ind w:left="838" w:right="120" w:firstLine="0"/>
        <w:jc w:val="both"/>
        <w:rPr>
          <w:sz w:val="20"/>
        </w:rPr>
      </w:pPr>
      <w:r>
        <w:rPr>
          <w:sz w:val="20"/>
        </w:rPr>
        <w:t>En la audiencia se recibirán las pruebas ofrecidas por las partes, se dará oportunidad para que éstas aleguen oralmente y se dictará</w:t>
      </w:r>
      <w:r>
        <w:rPr>
          <w:spacing w:val="-5"/>
          <w:sz w:val="20"/>
        </w:rPr>
        <w:t> </w:t>
      </w:r>
      <w:r>
        <w:rPr>
          <w:sz w:val="20"/>
        </w:rPr>
        <w:t>resolución.</w:t>
      </w:r>
    </w:p>
    <w:p>
      <w:pPr>
        <w:pStyle w:val="BodyText"/>
        <w:spacing w:before="8"/>
        <w:rPr>
          <w:sz w:val="19"/>
        </w:rPr>
      </w:pPr>
    </w:p>
    <w:p>
      <w:pPr>
        <w:pStyle w:val="BodyText"/>
        <w:ind w:left="118" w:right="122" w:firstLine="288"/>
        <w:jc w:val="both"/>
      </w:pPr>
      <w:bookmarkStart w:name="Artículo_209" w:id="209"/>
      <w:bookmarkEnd w:id="209"/>
      <w:r>
        <w:rPr/>
      </w:r>
      <w:r>
        <w:rPr>
          <w:b/>
        </w:rPr>
        <w:t>Artículo 209. </w:t>
      </w:r>
      <w:r>
        <w:rPr/>
        <w:t>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w:t>
      </w:r>
      <w:r>
        <w:rPr>
          <w:spacing w:val="-27"/>
        </w:rPr>
        <w:t> </w:t>
      </w:r>
      <w:r>
        <w:rPr/>
        <w:t>Ley.</w:t>
      </w:r>
    </w:p>
    <w:p>
      <w:pPr>
        <w:pStyle w:val="BodyText"/>
        <w:spacing w:before="11"/>
        <w:rPr>
          <w:sz w:val="19"/>
        </w:rPr>
      </w:pPr>
    </w:p>
    <w:p>
      <w:pPr>
        <w:pStyle w:val="Heading1"/>
      </w:pPr>
      <w:r>
        <w:rPr/>
        <w:t>CAPÍTULO VI</w:t>
      </w:r>
    </w:p>
    <w:p>
      <w:pPr>
        <w:spacing w:before="2"/>
        <w:ind w:left="607" w:right="605" w:firstLine="0"/>
        <w:jc w:val="center"/>
        <w:rPr>
          <w:b/>
          <w:sz w:val="22"/>
        </w:rPr>
      </w:pPr>
      <w:r>
        <w:rPr>
          <w:b/>
          <w:sz w:val="22"/>
        </w:rPr>
        <w:t>Denuncia por Incumplimiento de la Declaratoria General de Inconstitucionalidad</w:t>
      </w:r>
    </w:p>
    <w:p>
      <w:pPr>
        <w:pStyle w:val="BodyText"/>
        <w:spacing w:before="10"/>
        <w:rPr>
          <w:b/>
          <w:sz w:val="19"/>
        </w:rPr>
      </w:pPr>
    </w:p>
    <w:p>
      <w:pPr>
        <w:pStyle w:val="BodyText"/>
        <w:spacing w:line="242" w:lineRule="auto"/>
        <w:ind w:left="118" w:right="124" w:firstLine="288"/>
        <w:jc w:val="both"/>
      </w:pPr>
      <w:bookmarkStart w:name="Artículo_210" w:id="210"/>
      <w:bookmarkEnd w:id="210"/>
      <w:r>
        <w:rPr/>
      </w:r>
      <w:r>
        <w:rPr>
          <w:b/>
        </w:rPr>
        <w:t>Artículo 210. </w:t>
      </w:r>
      <w:r>
        <w:rPr/>
        <w:t>Si con posterioridad a la entrada en vigor de la declaratoria general de inconstitucionalidad, se aplica la norma general inconstitucional, el afectado podrá denunciar dicho acto:</w:t>
      </w:r>
    </w:p>
    <w:p>
      <w:pPr>
        <w:pStyle w:val="BodyText"/>
        <w:spacing w:before="6"/>
        <w:rPr>
          <w:sz w:val="19"/>
        </w:rPr>
      </w:pPr>
    </w:p>
    <w:p>
      <w:pPr>
        <w:pStyle w:val="ListParagraph"/>
        <w:numPr>
          <w:ilvl w:val="0"/>
          <w:numId w:val="46"/>
        </w:numPr>
        <w:tabs>
          <w:tab w:pos="1031" w:val="left" w:leader="none"/>
        </w:tabs>
        <w:spacing w:line="242" w:lineRule="auto" w:before="0" w:after="0"/>
        <w:ind w:left="838" w:right="125" w:firstLine="0"/>
        <w:jc w:val="both"/>
        <w:rPr>
          <w:sz w:val="20"/>
        </w:rPr>
      </w:pPr>
      <w:r>
        <w:rPr>
          <w:sz w:val="20"/>
        </w:rPr>
        <w:t>La denuncia se hará ante el juez de distrito que tenga jurisdicción en el lugar donde el acto deba tener ejecución, trate de ejecutarse, se esté ejecutando o se haya</w:t>
      </w:r>
      <w:r>
        <w:rPr>
          <w:spacing w:val="-8"/>
          <w:sz w:val="20"/>
        </w:rPr>
        <w:t> </w:t>
      </w:r>
      <w:r>
        <w:rPr>
          <w:sz w:val="20"/>
        </w:rPr>
        <w:t>ejecutado.</w:t>
      </w:r>
    </w:p>
    <w:p>
      <w:pPr>
        <w:pStyle w:val="BodyText"/>
        <w:spacing w:before="10"/>
        <w:rPr>
          <w:sz w:val="19"/>
        </w:rPr>
      </w:pPr>
    </w:p>
    <w:p>
      <w:pPr>
        <w:pStyle w:val="BodyText"/>
        <w:ind w:left="838" w:right="120"/>
        <w:jc w:val="both"/>
      </w:pPr>
      <w:r>
        <w:rP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pPr>
        <w:pStyle w:val="BodyText"/>
      </w:pPr>
    </w:p>
    <w:p>
      <w:pPr>
        <w:pStyle w:val="BodyText"/>
        <w:ind w:left="838" w:right="125"/>
        <w:jc w:val="both"/>
      </w:pPr>
      <w:r>
        <w:rPr/>
        <w:t>Cuando el acto denunciado no requiera ejecución material se tramitará ante el juez de distrito en cuya jurisdicción resida el denunciante.</w:t>
      </w:r>
    </w:p>
    <w:p>
      <w:pPr>
        <w:pStyle w:val="BodyText"/>
        <w:spacing w:before="2"/>
      </w:pPr>
    </w:p>
    <w:p>
      <w:pPr>
        <w:pStyle w:val="BodyText"/>
        <w:ind w:left="838" w:right="121"/>
        <w:jc w:val="both"/>
      </w:pPr>
      <w:r>
        <w:rPr/>
        <w:t>El juez de distrito dará vista a las partes para que en un plazo de tres días expongan lo que a su derecho convenga.</w:t>
      </w:r>
    </w:p>
    <w:p>
      <w:pPr>
        <w:pStyle w:val="BodyText"/>
        <w:spacing w:before="10"/>
        <w:rPr>
          <w:sz w:val="19"/>
        </w:rPr>
      </w:pPr>
    </w:p>
    <w:p>
      <w:pPr>
        <w:pStyle w:val="BodyText"/>
        <w:ind w:left="838" w:right="117"/>
        <w:jc w:val="both"/>
      </w:pPr>
      <w:r>
        <w:rPr/>
        <w:t>Transcurrido este plazo, dictará resolución dentro de los tres días siguientes. Si fuere en el sentido de que se aplicó la norma general inconstitucional, ordenará a la autoridad aplicadora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pPr>
        <w:spacing w:after="0"/>
        <w:jc w:val="both"/>
        <w:sectPr>
          <w:pgSz w:w="12240" w:h="15840"/>
          <w:pgMar w:header="708" w:footer="712" w:top="1760" w:bottom="900" w:left="1300" w:right="1300"/>
        </w:sectPr>
      </w:pPr>
    </w:p>
    <w:p>
      <w:pPr>
        <w:pStyle w:val="BodyText"/>
      </w:pPr>
    </w:p>
    <w:p>
      <w:pPr>
        <w:pStyle w:val="BodyText"/>
        <w:spacing w:before="6"/>
        <w:rPr>
          <w:sz w:val="27"/>
        </w:rPr>
      </w:pPr>
    </w:p>
    <w:p>
      <w:pPr>
        <w:pStyle w:val="ListParagraph"/>
        <w:numPr>
          <w:ilvl w:val="0"/>
          <w:numId w:val="46"/>
        </w:numPr>
        <w:tabs>
          <w:tab w:pos="1096" w:val="left" w:leader="none"/>
        </w:tabs>
        <w:spacing w:line="240" w:lineRule="auto" w:before="92" w:after="0"/>
        <w:ind w:left="838" w:right="121" w:firstLine="0"/>
        <w:jc w:val="both"/>
        <w:rPr>
          <w:sz w:val="20"/>
        </w:rPr>
      </w:pPr>
      <w:r>
        <w:rPr>
          <w:sz w:val="20"/>
        </w:rPr>
        <w:t>Si con posterioridad la autoridad aplicadora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w:t>
      </w:r>
      <w:r>
        <w:rPr>
          <w:spacing w:val="-9"/>
          <w:sz w:val="20"/>
        </w:rPr>
        <w:t> </w:t>
      </w:r>
      <w:r>
        <w:rPr>
          <w:sz w:val="20"/>
        </w:rPr>
        <w:t>Ley.</w:t>
      </w:r>
    </w:p>
    <w:p>
      <w:pPr>
        <w:pStyle w:val="BodyText"/>
        <w:spacing w:before="2"/>
      </w:pPr>
    </w:p>
    <w:p>
      <w:pPr>
        <w:pStyle w:val="BodyText"/>
        <w:spacing w:before="1"/>
        <w:ind w:left="118" w:right="120" w:firstLine="288"/>
        <w:jc w:val="both"/>
      </w:pPr>
      <w:r>
        <w:rP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w:t>
      </w:r>
      <w:r>
        <w:rPr>
          <w:spacing w:val="-1"/>
        </w:rPr>
        <w:t> </w:t>
      </w:r>
      <w:r>
        <w:rPr/>
        <w:t>Mexicanos.</w:t>
      </w:r>
    </w:p>
    <w:p>
      <w:pPr>
        <w:pStyle w:val="BodyText"/>
        <w:spacing w:before="8"/>
        <w:rPr>
          <w:sz w:val="19"/>
        </w:rPr>
      </w:pPr>
    </w:p>
    <w:p>
      <w:pPr>
        <w:pStyle w:val="Heading1"/>
        <w:ind w:left="607"/>
      </w:pPr>
      <w:r>
        <w:rPr/>
        <w:t>CAPÍTULO VII</w:t>
      </w:r>
    </w:p>
    <w:p>
      <w:pPr>
        <w:spacing w:before="2"/>
        <w:ind w:left="607" w:right="604" w:firstLine="0"/>
        <w:jc w:val="center"/>
        <w:rPr>
          <w:b/>
          <w:sz w:val="22"/>
        </w:rPr>
      </w:pPr>
      <w:r>
        <w:rPr>
          <w:b/>
          <w:sz w:val="22"/>
        </w:rPr>
        <w:t>Disposiciones Complementarias</w:t>
      </w:r>
    </w:p>
    <w:p>
      <w:pPr>
        <w:pStyle w:val="BodyText"/>
        <w:spacing w:before="11"/>
        <w:rPr>
          <w:b/>
          <w:sz w:val="19"/>
        </w:rPr>
      </w:pPr>
    </w:p>
    <w:p>
      <w:pPr>
        <w:pStyle w:val="BodyText"/>
        <w:ind w:left="118" w:right="118" w:firstLine="288"/>
        <w:jc w:val="both"/>
      </w:pPr>
      <w:bookmarkStart w:name="Artículo_211" w:id="211"/>
      <w:bookmarkEnd w:id="211"/>
      <w:r>
        <w:rPr/>
      </w:r>
      <w:r>
        <w:rPr>
          <w:b/>
        </w:rPr>
        <w:t>Artículo 211. </w:t>
      </w:r>
      <w:r>
        <w:rPr/>
        <w:t>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w:t>
      </w:r>
      <w:r>
        <w:rPr>
          <w:spacing w:val="-1"/>
        </w:rPr>
        <w:t> </w:t>
      </w:r>
      <w:r>
        <w:rPr/>
        <w:t>ejecutarla.</w:t>
      </w:r>
    </w:p>
    <w:p>
      <w:pPr>
        <w:pStyle w:val="BodyText"/>
        <w:spacing w:before="2"/>
      </w:pPr>
    </w:p>
    <w:p>
      <w:pPr>
        <w:pStyle w:val="BodyText"/>
        <w:ind w:left="118" w:right="122" w:firstLine="288"/>
        <w:jc w:val="both"/>
      </w:pPr>
      <w:r>
        <w:rP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pPr>
        <w:pStyle w:val="BodyText"/>
        <w:spacing w:before="11"/>
        <w:rPr>
          <w:sz w:val="19"/>
        </w:rPr>
      </w:pPr>
    </w:p>
    <w:p>
      <w:pPr>
        <w:pStyle w:val="BodyText"/>
        <w:ind w:left="118" w:right="117" w:firstLine="288"/>
        <w:jc w:val="both"/>
      </w:pPr>
      <w:r>
        <w:rP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pPr>
        <w:pStyle w:val="BodyText"/>
        <w:spacing w:before="11"/>
        <w:rPr>
          <w:sz w:val="19"/>
        </w:rPr>
      </w:pPr>
    </w:p>
    <w:p>
      <w:pPr>
        <w:pStyle w:val="BodyText"/>
        <w:ind w:left="118" w:right="122" w:firstLine="288"/>
        <w:jc w:val="both"/>
      </w:pPr>
      <w:bookmarkStart w:name="Artículo_212" w:id="212"/>
      <w:bookmarkEnd w:id="212"/>
      <w:r>
        <w:rPr/>
      </w:r>
      <w:r>
        <w:rPr>
          <w:b/>
        </w:rPr>
        <w:t>Artículo 212. </w:t>
      </w:r>
      <w:r>
        <w:rPr/>
        <w:t>Si el pleno o la sala de la Suprema Corte de Justicia de la Nación que concedió el amparo no obtuviere el cumplimiento material de la sentencia respectiva, dictará las órdenes que sean procedentes al órgano jurisdiccional que corresponda, los que se sujetarán a las disposiciones del artículo anterior en cuanto fueren</w:t>
      </w:r>
      <w:r>
        <w:rPr>
          <w:spacing w:val="1"/>
        </w:rPr>
        <w:t> </w:t>
      </w:r>
      <w:r>
        <w:rPr/>
        <w:t>aplicables.</w:t>
      </w:r>
    </w:p>
    <w:p>
      <w:pPr>
        <w:pStyle w:val="BodyText"/>
      </w:pPr>
    </w:p>
    <w:p>
      <w:pPr>
        <w:pStyle w:val="BodyText"/>
        <w:spacing w:line="242" w:lineRule="auto"/>
        <w:ind w:left="118" w:right="122" w:firstLine="288"/>
        <w:jc w:val="both"/>
      </w:pPr>
      <w:bookmarkStart w:name="Artículo_213" w:id="213"/>
      <w:bookmarkEnd w:id="213"/>
      <w:r>
        <w:rPr/>
      </w:r>
      <w:r>
        <w:rPr>
          <w:b/>
        </w:rPr>
        <w:t>Artículo 213. </w:t>
      </w:r>
      <w:r>
        <w:rPr/>
        <w:t>En el recurso e incidentes a que se refiere este título, el órgano jurisdiccional de amparo deberá suplir la deficiencia de la vía y de los argumentos hechos valer por el promovente.</w:t>
      </w:r>
    </w:p>
    <w:p>
      <w:pPr>
        <w:pStyle w:val="BodyText"/>
        <w:spacing w:before="5"/>
        <w:rPr>
          <w:sz w:val="19"/>
        </w:rPr>
      </w:pPr>
    </w:p>
    <w:p>
      <w:pPr>
        <w:pStyle w:val="BodyText"/>
        <w:spacing w:line="242" w:lineRule="auto" w:before="1"/>
        <w:ind w:left="118" w:right="117" w:firstLine="288"/>
        <w:jc w:val="both"/>
      </w:pPr>
      <w:bookmarkStart w:name="Artículo_214" w:id="214"/>
      <w:bookmarkEnd w:id="214"/>
      <w:r>
        <w:rPr/>
      </w:r>
      <w:r>
        <w:rPr>
          <w:b/>
        </w:rPr>
        <w:t>Artículo 214. </w:t>
      </w:r>
      <w:r>
        <w:rPr/>
        <w:t>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pPr>
        <w:pStyle w:val="BodyText"/>
        <w:spacing w:before="7"/>
        <w:rPr>
          <w:sz w:val="19"/>
        </w:rPr>
      </w:pPr>
    </w:p>
    <w:p>
      <w:pPr>
        <w:pStyle w:val="Heading1"/>
        <w:spacing w:line="252" w:lineRule="exact"/>
        <w:ind w:left="603"/>
      </w:pPr>
      <w:r>
        <w:rPr/>
        <w:t>TÍTULO CUARTO</w:t>
      </w:r>
    </w:p>
    <w:p>
      <w:pPr>
        <w:spacing w:line="252" w:lineRule="exact" w:before="0"/>
        <w:ind w:left="607" w:right="604" w:firstLine="0"/>
        <w:jc w:val="center"/>
        <w:rPr>
          <w:b/>
          <w:sz w:val="22"/>
        </w:rPr>
      </w:pPr>
      <w:r>
        <w:rPr>
          <w:b/>
          <w:sz w:val="22"/>
        </w:rPr>
        <w:t>Jurisprudencia y Declaratoria General de Inconstitucionalidad</w:t>
      </w:r>
    </w:p>
    <w:p>
      <w:pPr>
        <w:pStyle w:val="BodyText"/>
        <w:rPr>
          <w:b/>
          <w:sz w:val="22"/>
        </w:rPr>
      </w:pPr>
    </w:p>
    <w:p>
      <w:pPr>
        <w:spacing w:line="252" w:lineRule="exact" w:before="0"/>
        <w:ind w:left="605" w:right="605" w:firstLine="0"/>
        <w:jc w:val="center"/>
        <w:rPr>
          <w:b/>
          <w:sz w:val="22"/>
        </w:rPr>
      </w:pPr>
      <w:r>
        <w:rPr>
          <w:b/>
          <w:sz w:val="22"/>
        </w:rPr>
        <w:t>CAPÍTULO I</w:t>
      </w:r>
    </w:p>
    <w:p>
      <w:pPr>
        <w:spacing w:line="252" w:lineRule="exact" w:before="0"/>
        <w:ind w:left="607" w:right="605" w:firstLine="0"/>
        <w:jc w:val="center"/>
        <w:rPr>
          <w:b/>
          <w:sz w:val="22"/>
        </w:rPr>
      </w:pPr>
      <w:r>
        <w:rPr>
          <w:b/>
          <w:sz w:val="22"/>
        </w:rPr>
        <w:t>Disposiciones Generales</w:t>
      </w:r>
    </w:p>
    <w:p>
      <w:pPr>
        <w:pStyle w:val="BodyText"/>
        <w:spacing w:before="11"/>
        <w:rPr>
          <w:b/>
          <w:sz w:val="19"/>
        </w:rPr>
      </w:pPr>
    </w:p>
    <w:p>
      <w:pPr>
        <w:pStyle w:val="BodyText"/>
        <w:spacing w:line="242" w:lineRule="auto"/>
        <w:ind w:left="118" w:right="121" w:firstLine="288"/>
        <w:jc w:val="both"/>
      </w:pPr>
      <w:bookmarkStart w:name="Artículo_215" w:id="215"/>
      <w:bookmarkEnd w:id="215"/>
      <w:r>
        <w:rPr/>
      </w:r>
      <w:r>
        <w:rPr>
          <w:b/>
        </w:rPr>
        <w:t>Artículo 215. </w:t>
      </w:r>
      <w:r>
        <w:rPr/>
        <w:t>La jurisprudencia se establece por reiteración de criterios, por contradicción de tesis y por sustitución.</w:t>
      </w:r>
    </w:p>
    <w:p>
      <w:pPr>
        <w:spacing w:after="0" w:line="242" w:lineRule="auto"/>
        <w:jc w:val="both"/>
        <w:sectPr>
          <w:pgSz w:w="12240" w:h="15840"/>
          <w:pgMar w:header="708" w:footer="712" w:top="1760" w:bottom="900" w:left="1300" w:right="1300"/>
        </w:sectPr>
      </w:pPr>
    </w:p>
    <w:p>
      <w:pPr>
        <w:pStyle w:val="BodyText"/>
      </w:pPr>
    </w:p>
    <w:p>
      <w:pPr>
        <w:pStyle w:val="BodyText"/>
        <w:spacing w:before="6"/>
        <w:rPr>
          <w:sz w:val="27"/>
        </w:rPr>
      </w:pPr>
    </w:p>
    <w:p>
      <w:pPr>
        <w:pStyle w:val="BodyText"/>
        <w:spacing w:line="242" w:lineRule="auto" w:before="92"/>
        <w:ind w:left="118" w:right="118" w:firstLine="288"/>
        <w:jc w:val="both"/>
      </w:pPr>
      <w:bookmarkStart w:name="Artículo_216" w:id="216"/>
      <w:bookmarkEnd w:id="216"/>
      <w:r>
        <w:rPr/>
      </w:r>
      <w:r>
        <w:rPr>
          <w:b/>
        </w:rPr>
        <w:t>Artículo 216. </w:t>
      </w:r>
      <w:r>
        <w:rPr/>
        <w:t>La jurisprudencia por reiteración se establece por la Suprema Corte de Justicia de la Nación, funcionando en pleno o en salas, o por los tribunales colegiados de circuito.</w:t>
      </w:r>
    </w:p>
    <w:p>
      <w:pPr>
        <w:pStyle w:val="BodyText"/>
        <w:spacing w:before="8"/>
        <w:rPr>
          <w:sz w:val="19"/>
        </w:rPr>
      </w:pPr>
    </w:p>
    <w:p>
      <w:pPr>
        <w:pStyle w:val="BodyText"/>
        <w:spacing w:before="1"/>
        <w:ind w:left="118" w:right="124" w:firstLine="288"/>
        <w:jc w:val="both"/>
      </w:pPr>
      <w:r>
        <w:rPr/>
        <w:t>La jurisprudencia por contradicción se establece por el pleno o las salas de la Suprema Corte de Justicia de la Nación y por los Plenos de Circuito.</w:t>
      </w:r>
    </w:p>
    <w:p>
      <w:pPr>
        <w:pStyle w:val="BodyText"/>
        <w:spacing w:before="10"/>
        <w:rPr>
          <w:sz w:val="19"/>
        </w:rPr>
      </w:pPr>
    </w:p>
    <w:p>
      <w:pPr>
        <w:pStyle w:val="BodyText"/>
        <w:ind w:left="118" w:right="118" w:firstLine="288"/>
        <w:jc w:val="both"/>
      </w:pPr>
      <w:bookmarkStart w:name="Artículo_217" w:id="217"/>
      <w:bookmarkEnd w:id="217"/>
      <w:r>
        <w:rPr/>
      </w:r>
      <w:r>
        <w:rPr>
          <w:b/>
        </w:rPr>
        <w:t>Artículo 217. </w:t>
      </w:r>
      <w:r>
        <w:rPr/>
        <w:t>La jurisprudencia que establezca la Suprema Corte de Justicia de la Nación, funcionando en pleno o en salas, es obligatoria para éstas tratándose de la que decrete el pleno, y además para los Plenos de Circuito, los tribunales colegiados y unitarios de circuito, los juzgados de distrito, tribunales militares y judiciales del orden común de los Estados y del Distrito Federal, y tribunales administrativos y del trabajo, locales o federales.</w:t>
      </w:r>
    </w:p>
    <w:p>
      <w:pPr>
        <w:pStyle w:val="BodyText"/>
        <w:spacing w:before="3"/>
      </w:pPr>
    </w:p>
    <w:p>
      <w:pPr>
        <w:pStyle w:val="BodyText"/>
        <w:ind w:left="118" w:right="115" w:firstLine="288"/>
        <w:jc w:val="both"/>
      </w:pPr>
      <w:r>
        <w:rPr/>
        <w:t>La jurisprudencia que establezcan los Plenos de Circuito es obligatoria para los tribunales colegiados y unitarios de circuito, los juzgados de distrito, tribunales militares y judiciales del orden común de las entidades federativas y tribunales administrativos y del trabajo, locales o federales que se ubiquen dentro del circuito</w:t>
      </w:r>
      <w:r>
        <w:rPr>
          <w:spacing w:val="-2"/>
        </w:rPr>
        <w:t> </w:t>
      </w:r>
      <w:r>
        <w:rPr/>
        <w:t>correspondiente.</w:t>
      </w:r>
    </w:p>
    <w:p>
      <w:pPr>
        <w:pStyle w:val="BodyText"/>
      </w:pPr>
    </w:p>
    <w:p>
      <w:pPr>
        <w:pStyle w:val="BodyText"/>
        <w:ind w:left="118" w:right="122" w:firstLine="288"/>
        <w:jc w:val="both"/>
      </w:pPr>
      <w:r>
        <w:rPr/>
        <w:t>La jurisprudencia que establezcan los tribunales colegiados de circuito es obligatoria para los órganos mencionados en el párrafo anterior, con excepción de los Plenos de Circuito y de los demás tribunales colegiados de circuito.</w:t>
      </w:r>
    </w:p>
    <w:p>
      <w:pPr>
        <w:pStyle w:val="BodyText"/>
        <w:spacing w:before="10"/>
        <w:rPr>
          <w:sz w:val="19"/>
        </w:rPr>
      </w:pPr>
    </w:p>
    <w:p>
      <w:pPr>
        <w:pStyle w:val="BodyText"/>
        <w:spacing w:before="1"/>
        <w:ind w:left="406"/>
      </w:pPr>
      <w:r>
        <w:rPr/>
        <w:t>La jurisprudencia en ningún caso tendrá efecto retroactivo en perjuicio de persona alguna.</w:t>
      </w:r>
    </w:p>
    <w:p>
      <w:pPr>
        <w:pStyle w:val="BodyText"/>
        <w:spacing w:before="9"/>
        <w:rPr>
          <w:sz w:val="19"/>
        </w:rPr>
      </w:pPr>
    </w:p>
    <w:p>
      <w:pPr>
        <w:pStyle w:val="BodyText"/>
        <w:spacing w:line="242" w:lineRule="auto"/>
        <w:ind w:left="118" w:right="119" w:firstLine="288"/>
        <w:jc w:val="both"/>
      </w:pPr>
      <w:bookmarkStart w:name="Artículo_218" w:id="218"/>
      <w:bookmarkEnd w:id="218"/>
      <w:r>
        <w:rPr/>
      </w:r>
      <w:r>
        <w:rPr>
          <w:b/>
        </w:rPr>
        <w:t>Artículo 218. </w:t>
      </w:r>
      <w:r>
        <w:rPr/>
        <w:t>Cuando la Suprema Corte de Justicia de la Nación, los Plenos de Circuito o los tribunales colegiados de circuito establezcan un criterio relevante, se elaborará la tesis respectiva, la cual deberá contener:</w:t>
      </w:r>
    </w:p>
    <w:p>
      <w:pPr>
        <w:pStyle w:val="BodyText"/>
        <w:spacing w:before="5"/>
        <w:rPr>
          <w:sz w:val="19"/>
        </w:rPr>
      </w:pPr>
    </w:p>
    <w:p>
      <w:pPr>
        <w:pStyle w:val="ListParagraph"/>
        <w:numPr>
          <w:ilvl w:val="0"/>
          <w:numId w:val="47"/>
        </w:numPr>
        <w:tabs>
          <w:tab w:pos="1005" w:val="left" w:leader="none"/>
        </w:tabs>
        <w:spacing w:line="240" w:lineRule="auto" w:before="0" w:after="0"/>
        <w:ind w:left="1004" w:right="0" w:hanging="167"/>
        <w:jc w:val="left"/>
        <w:rPr>
          <w:sz w:val="20"/>
        </w:rPr>
      </w:pPr>
      <w:r>
        <w:rPr>
          <w:sz w:val="20"/>
        </w:rPr>
        <w:t>El título que identifique el tema que se</w:t>
      </w:r>
      <w:r>
        <w:rPr>
          <w:spacing w:val="-6"/>
          <w:sz w:val="20"/>
        </w:rPr>
        <w:t> </w:t>
      </w:r>
      <w:r>
        <w:rPr>
          <w:sz w:val="20"/>
        </w:rPr>
        <w:t>trata;</w:t>
      </w:r>
    </w:p>
    <w:p>
      <w:pPr>
        <w:pStyle w:val="BodyText"/>
      </w:pPr>
    </w:p>
    <w:p>
      <w:pPr>
        <w:pStyle w:val="ListParagraph"/>
        <w:numPr>
          <w:ilvl w:val="0"/>
          <w:numId w:val="47"/>
        </w:numPr>
        <w:tabs>
          <w:tab w:pos="1060" w:val="left" w:leader="none"/>
        </w:tabs>
        <w:spacing w:line="240" w:lineRule="auto" w:before="1" w:after="0"/>
        <w:ind w:left="1059" w:right="0" w:hanging="222"/>
        <w:jc w:val="left"/>
        <w:rPr>
          <w:sz w:val="20"/>
        </w:rPr>
      </w:pPr>
      <w:r>
        <w:rPr>
          <w:sz w:val="20"/>
        </w:rPr>
        <w:t>El subtítulo que señale sintéticamente el criterio que se</w:t>
      </w:r>
      <w:r>
        <w:rPr>
          <w:spacing w:val="-9"/>
          <w:sz w:val="20"/>
        </w:rPr>
        <w:t> </w:t>
      </w:r>
      <w:r>
        <w:rPr>
          <w:sz w:val="20"/>
        </w:rPr>
        <w:t>sustenta;</w:t>
      </w:r>
    </w:p>
    <w:p>
      <w:pPr>
        <w:pStyle w:val="BodyText"/>
        <w:spacing w:before="9"/>
        <w:rPr>
          <w:sz w:val="19"/>
        </w:rPr>
      </w:pPr>
    </w:p>
    <w:p>
      <w:pPr>
        <w:pStyle w:val="ListParagraph"/>
        <w:numPr>
          <w:ilvl w:val="0"/>
          <w:numId w:val="47"/>
        </w:numPr>
        <w:tabs>
          <w:tab w:pos="1202" w:val="left" w:leader="none"/>
        </w:tabs>
        <w:spacing w:line="242" w:lineRule="auto" w:before="1" w:after="0"/>
        <w:ind w:left="838" w:right="120" w:firstLine="0"/>
        <w:jc w:val="left"/>
        <w:rPr>
          <w:sz w:val="20"/>
        </w:rPr>
      </w:pPr>
      <w:r>
        <w:rPr>
          <w:sz w:val="20"/>
        </w:rPr>
        <w:t>Las consideraciones interpretativas mediante las cuales el órgano jurisdiccional haya establecido el</w:t>
      </w:r>
      <w:r>
        <w:rPr>
          <w:spacing w:val="-4"/>
          <w:sz w:val="20"/>
        </w:rPr>
        <w:t> </w:t>
      </w:r>
      <w:r>
        <w:rPr>
          <w:sz w:val="20"/>
        </w:rPr>
        <w:t>criterio;</w:t>
      </w:r>
    </w:p>
    <w:p>
      <w:pPr>
        <w:pStyle w:val="BodyText"/>
        <w:spacing w:before="8"/>
        <w:rPr>
          <w:sz w:val="19"/>
        </w:rPr>
      </w:pPr>
    </w:p>
    <w:p>
      <w:pPr>
        <w:pStyle w:val="ListParagraph"/>
        <w:numPr>
          <w:ilvl w:val="0"/>
          <w:numId w:val="47"/>
        </w:numPr>
        <w:tabs>
          <w:tab w:pos="1137" w:val="left" w:leader="none"/>
        </w:tabs>
        <w:spacing w:line="240" w:lineRule="auto" w:before="0" w:after="0"/>
        <w:ind w:left="1136" w:right="0" w:hanging="299"/>
        <w:jc w:val="left"/>
        <w:rPr>
          <w:sz w:val="20"/>
        </w:rPr>
      </w:pPr>
      <w:r>
        <w:rPr>
          <w:sz w:val="20"/>
        </w:rPr>
        <w:t>Cuando el criterio se refiera a la interpretación de una norma, la identificación de ésta;</w:t>
      </w:r>
      <w:r>
        <w:rPr>
          <w:spacing w:val="-15"/>
          <w:sz w:val="20"/>
        </w:rPr>
        <w:t> </w:t>
      </w:r>
      <w:r>
        <w:rPr>
          <w:sz w:val="20"/>
        </w:rPr>
        <w:t>y</w:t>
      </w:r>
    </w:p>
    <w:p>
      <w:pPr>
        <w:pStyle w:val="BodyText"/>
      </w:pPr>
    </w:p>
    <w:p>
      <w:pPr>
        <w:pStyle w:val="ListParagraph"/>
        <w:numPr>
          <w:ilvl w:val="0"/>
          <w:numId w:val="47"/>
        </w:numPr>
        <w:tabs>
          <w:tab w:pos="1091" w:val="left" w:leader="none"/>
        </w:tabs>
        <w:spacing w:line="240" w:lineRule="auto" w:before="1" w:after="0"/>
        <w:ind w:left="838" w:right="118" w:firstLine="0"/>
        <w:jc w:val="both"/>
        <w:rPr>
          <w:sz w:val="20"/>
        </w:rPr>
      </w:pPr>
      <w:r>
        <w:rPr>
          <w:sz w:val="20"/>
        </w:rPr>
        <w:t>Los datos de identificación del asunto, el número de tesis, el órgano jurisdiccional que la dictó y las votaciones emitidas al aprobar el asunto y, en su caso, en relación con el criterio sustentado en la</w:t>
      </w:r>
      <w:r>
        <w:rPr>
          <w:spacing w:val="-3"/>
          <w:sz w:val="20"/>
        </w:rPr>
        <w:t> </w:t>
      </w:r>
      <w:r>
        <w:rPr>
          <w:sz w:val="20"/>
        </w:rPr>
        <w:t>tesis.</w:t>
      </w:r>
    </w:p>
    <w:p>
      <w:pPr>
        <w:pStyle w:val="BodyText"/>
        <w:spacing w:before="1"/>
      </w:pPr>
    </w:p>
    <w:p>
      <w:pPr>
        <w:pStyle w:val="BodyText"/>
        <w:ind w:left="118" w:right="117" w:firstLine="288"/>
        <w:jc w:val="both"/>
      </w:pPr>
      <w:r>
        <w:rPr/>
        <w:t>Además de los elementos señalados en las fracciones I, II, III y IV de este artículo, la jurisprudencia emitida por contradicción o sustitución deberá contener, según sea el caso, los datos de identificación de las tesis que contiendan en la contradicción o de la tesis que resulte sustituida, el órgano que las emitió, así como la votación emitida durante las sesiones en que tales contradicciones o sustituciones se resuelvan.</w:t>
      </w:r>
    </w:p>
    <w:p>
      <w:pPr>
        <w:pStyle w:val="BodyText"/>
        <w:spacing w:before="10"/>
        <w:rPr>
          <w:sz w:val="19"/>
        </w:rPr>
      </w:pPr>
    </w:p>
    <w:p>
      <w:pPr>
        <w:pStyle w:val="BodyText"/>
        <w:ind w:left="118" w:right="123" w:firstLine="288"/>
        <w:jc w:val="both"/>
      </w:pPr>
      <w:bookmarkStart w:name="Artículo_219" w:id="219"/>
      <w:bookmarkEnd w:id="219"/>
      <w:r>
        <w:rPr/>
      </w:r>
      <w:r>
        <w:rPr>
          <w:b/>
        </w:rPr>
        <w:t>Artículo 219. </w:t>
      </w:r>
      <w:r>
        <w:rPr/>
        <w:t>El pleno o las salas de la Suprema Corte de Justicia de la Nación, los Plenos de Circuito o los tribunales colegiados de circuito deberán remitir las tesis en el plazo de quince días a la dependencia de la Suprema Corte de Justicia de la Nación encargada del Semanario Judicial de la Federación, para su publicación.</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3" w:firstLine="288"/>
        <w:jc w:val="both"/>
      </w:pPr>
      <w:bookmarkStart w:name="Artículo_220" w:id="220"/>
      <w:bookmarkEnd w:id="220"/>
      <w:r>
        <w:rPr/>
      </w:r>
      <w:r>
        <w:rPr>
          <w:b/>
        </w:rPr>
        <w:t>Artículo 220. </w:t>
      </w:r>
      <w:r>
        <w:rPr/>
        <w:t>En el Semanario Judicial de la Federación se publicarán las tesis que se reciban y se distribuirá en forma eficiente para facilitar su conocimiento.</w:t>
      </w:r>
    </w:p>
    <w:p>
      <w:pPr>
        <w:pStyle w:val="BodyText"/>
        <w:spacing w:before="10"/>
        <w:rPr>
          <w:sz w:val="19"/>
        </w:rPr>
      </w:pPr>
    </w:p>
    <w:p>
      <w:pPr>
        <w:pStyle w:val="BodyText"/>
        <w:spacing w:before="1"/>
        <w:ind w:left="118" w:right="125" w:firstLine="288"/>
        <w:jc w:val="both"/>
      </w:pPr>
      <w:r>
        <w:rPr/>
        <w:t>Igualmente se publicarán las resoluciones necesarias para constituir, interrumpir o sustituir la jurisprudencia y los votos particulares. También se publicarán las resoluciones que los órganos jurisdiccionales competentes estimen</w:t>
      </w:r>
      <w:r>
        <w:rPr>
          <w:spacing w:val="-2"/>
        </w:rPr>
        <w:t> </w:t>
      </w:r>
      <w:r>
        <w:rPr/>
        <w:t>pertinentes.</w:t>
      </w:r>
    </w:p>
    <w:p>
      <w:pPr>
        <w:pStyle w:val="BodyText"/>
        <w:spacing w:before="8"/>
        <w:rPr>
          <w:sz w:val="19"/>
        </w:rPr>
      </w:pPr>
    </w:p>
    <w:p>
      <w:pPr>
        <w:pStyle w:val="BodyText"/>
        <w:ind w:left="118" w:right="125" w:firstLine="288"/>
        <w:jc w:val="both"/>
      </w:pPr>
      <w:bookmarkStart w:name="Artículo_221" w:id="221"/>
      <w:bookmarkEnd w:id="221"/>
      <w:r>
        <w:rPr/>
      </w:r>
      <w:r>
        <w:rPr>
          <w:b/>
        </w:rPr>
        <w:t>Artículo 221. </w:t>
      </w:r>
      <w:r>
        <w:rPr/>
        <w:t>Cuando las partes invoquen tesis de jurisprudencia o precedentes expresarán los datos de identificación y publicación. De no haber sido publicadas, bastará que se acompañen copias certificadas de las resoluciones correspondientes.</w:t>
      </w:r>
    </w:p>
    <w:p>
      <w:pPr>
        <w:pStyle w:val="BodyText"/>
        <w:spacing w:before="11"/>
        <w:rPr>
          <w:sz w:val="19"/>
        </w:rPr>
      </w:pPr>
    </w:p>
    <w:p>
      <w:pPr>
        <w:pStyle w:val="Heading1"/>
      </w:pPr>
      <w:r>
        <w:rPr/>
        <w:t>CAPÍTULO II</w:t>
      </w:r>
    </w:p>
    <w:p>
      <w:pPr>
        <w:spacing w:before="2"/>
        <w:ind w:left="606" w:right="605" w:firstLine="0"/>
        <w:jc w:val="center"/>
        <w:rPr>
          <w:b/>
          <w:sz w:val="22"/>
        </w:rPr>
      </w:pPr>
      <w:r>
        <w:rPr>
          <w:b/>
          <w:sz w:val="22"/>
        </w:rPr>
        <w:t>Jurisprudencia por Reiteración de Criterios</w:t>
      </w:r>
    </w:p>
    <w:p>
      <w:pPr>
        <w:pStyle w:val="BodyText"/>
        <w:spacing w:before="11"/>
        <w:rPr>
          <w:b/>
          <w:sz w:val="19"/>
        </w:rPr>
      </w:pPr>
    </w:p>
    <w:p>
      <w:pPr>
        <w:pStyle w:val="BodyText"/>
        <w:ind w:left="118" w:right="116" w:firstLine="288"/>
        <w:jc w:val="both"/>
      </w:pPr>
      <w:bookmarkStart w:name="Artículo_222" w:id="222"/>
      <w:bookmarkEnd w:id="222"/>
      <w:r>
        <w:rPr/>
      </w:r>
      <w:r>
        <w:rPr>
          <w:b/>
        </w:rPr>
        <w:t>Artículo 222. </w:t>
      </w:r>
      <w:r>
        <w:rPr/>
        <w:t>La jurisprudencia por reiteración del pleno de la Suprema Corte de Justicia de la Nación se establece cuando se sustente un mismo criterio en cinco sentencias no interrumpidas por otra en contrario, resueltas en diferentes sesiones, por una mayoría de cuando menos ocho votos.</w:t>
      </w:r>
    </w:p>
    <w:p>
      <w:pPr>
        <w:pStyle w:val="BodyText"/>
        <w:spacing w:before="10"/>
        <w:rPr>
          <w:sz w:val="19"/>
        </w:rPr>
      </w:pPr>
    </w:p>
    <w:p>
      <w:pPr>
        <w:pStyle w:val="BodyText"/>
        <w:spacing w:line="242" w:lineRule="auto"/>
        <w:ind w:left="118" w:right="118" w:firstLine="288"/>
        <w:jc w:val="both"/>
      </w:pPr>
      <w:bookmarkStart w:name="Artículo_223" w:id="223"/>
      <w:bookmarkEnd w:id="223"/>
      <w:r>
        <w:rPr/>
      </w:r>
      <w:r>
        <w:rPr>
          <w:b/>
        </w:rPr>
        <w:t>Artículo 223. </w:t>
      </w:r>
      <w:r>
        <w:rPr/>
        <w:t>La jurisprudencia por reiteración de las salas de la Suprema Corte de Justicia de la Nación se establece cuando se sustente un mismo criterio en cinco sentencias no interrumpidas por otra en contrario, resueltas en diferentes sesiones, por una mayoría de cuando menos cuatro votos.</w:t>
      </w:r>
    </w:p>
    <w:p>
      <w:pPr>
        <w:pStyle w:val="BodyText"/>
        <w:spacing w:before="4"/>
        <w:rPr>
          <w:sz w:val="19"/>
        </w:rPr>
      </w:pPr>
    </w:p>
    <w:p>
      <w:pPr>
        <w:pStyle w:val="BodyText"/>
        <w:spacing w:line="242" w:lineRule="auto"/>
        <w:ind w:left="118" w:right="124" w:firstLine="288"/>
        <w:jc w:val="both"/>
      </w:pPr>
      <w:bookmarkStart w:name="Artículo_224" w:id="224"/>
      <w:bookmarkEnd w:id="224"/>
      <w:r>
        <w:rPr/>
      </w:r>
      <w:r>
        <w:rPr>
          <w:b/>
        </w:rPr>
        <w:t>Artículo 224. </w:t>
      </w:r>
      <w:r>
        <w:rPr/>
        <w:t>Para el establecimiento de la jurisprudencia de los tribunales colegiados de circuito deberán observarse los requisitos señalados en este Capítulo, salvo el de la votación, que deberá ser unánime.</w:t>
      </w:r>
    </w:p>
    <w:p>
      <w:pPr>
        <w:pStyle w:val="BodyText"/>
        <w:spacing w:before="5"/>
        <w:rPr>
          <w:sz w:val="11"/>
        </w:rPr>
      </w:pPr>
    </w:p>
    <w:p>
      <w:pPr>
        <w:pStyle w:val="Heading1"/>
        <w:spacing w:line="253" w:lineRule="exact" w:before="94"/>
        <w:ind w:left="607"/>
      </w:pPr>
      <w:r>
        <w:rPr/>
        <w:t>CAPÍTULO III</w:t>
      </w:r>
    </w:p>
    <w:p>
      <w:pPr>
        <w:spacing w:line="253" w:lineRule="exact" w:before="0"/>
        <w:ind w:left="606" w:right="605" w:firstLine="0"/>
        <w:jc w:val="center"/>
        <w:rPr>
          <w:b/>
          <w:sz w:val="22"/>
        </w:rPr>
      </w:pPr>
      <w:r>
        <w:rPr>
          <w:b/>
          <w:sz w:val="22"/>
        </w:rPr>
        <w:t>Jurisprudencia por Contradicción de Tesis</w:t>
      </w:r>
    </w:p>
    <w:p>
      <w:pPr>
        <w:pStyle w:val="BodyText"/>
        <w:spacing w:before="10"/>
        <w:rPr>
          <w:b/>
          <w:sz w:val="19"/>
        </w:rPr>
      </w:pPr>
    </w:p>
    <w:p>
      <w:pPr>
        <w:pStyle w:val="BodyText"/>
        <w:spacing w:line="242" w:lineRule="auto" w:before="1"/>
        <w:ind w:left="118" w:right="125" w:firstLine="288"/>
        <w:jc w:val="both"/>
      </w:pPr>
      <w:bookmarkStart w:name="Artículo_225" w:id="225"/>
      <w:bookmarkEnd w:id="225"/>
      <w:r>
        <w:rPr/>
      </w:r>
      <w:r>
        <w:rPr>
          <w:b/>
        </w:rPr>
        <w:t>Artículo 225. </w:t>
      </w:r>
      <w:r>
        <w:rPr/>
        <w:t>La jurisprudencia por contradicción se establece al dilucidar los criterios discrepantes sostenidos entre las salas de la Suprema Corte de Justicia de la Nación, entre los Plenos de Circuito o entre los tribunales colegiados de circuito, en los asuntos de su competencia.</w:t>
      </w:r>
    </w:p>
    <w:p>
      <w:pPr>
        <w:pStyle w:val="BodyText"/>
        <w:spacing w:before="6"/>
        <w:rPr>
          <w:sz w:val="19"/>
        </w:rPr>
      </w:pPr>
    </w:p>
    <w:p>
      <w:pPr>
        <w:spacing w:before="0"/>
        <w:ind w:left="406" w:right="0" w:firstLine="0"/>
        <w:jc w:val="left"/>
        <w:rPr>
          <w:sz w:val="20"/>
        </w:rPr>
      </w:pPr>
      <w:bookmarkStart w:name="Artículo_226" w:id="226"/>
      <w:bookmarkEnd w:id="226"/>
      <w:r>
        <w:rPr/>
      </w:r>
      <w:r>
        <w:rPr>
          <w:b/>
          <w:sz w:val="20"/>
        </w:rPr>
        <w:t>Artículo 226. </w:t>
      </w:r>
      <w:r>
        <w:rPr>
          <w:sz w:val="20"/>
        </w:rPr>
        <w:t>Las contradicciones de tesis serán resueltas por:</w:t>
      </w:r>
    </w:p>
    <w:p>
      <w:pPr>
        <w:pStyle w:val="BodyText"/>
        <w:spacing w:before="10"/>
        <w:rPr>
          <w:sz w:val="19"/>
        </w:rPr>
      </w:pPr>
    </w:p>
    <w:p>
      <w:pPr>
        <w:pStyle w:val="ListParagraph"/>
        <w:numPr>
          <w:ilvl w:val="0"/>
          <w:numId w:val="48"/>
        </w:numPr>
        <w:tabs>
          <w:tab w:pos="1043" w:val="left" w:leader="none"/>
        </w:tabs>
        <w:spacing w:line="242" w:lineRule="auto" w:before="0" w:after="0"/>
        <w:ind w:left="838" w:right="123" w:firstLine="0"/>
        <w:jc w:val="both"/>
        <w:rPr>
          <w:sz w:val="20"/>
        </w:rPr>
      </w:pPr>
      <w:r>
        <w:rPr>
          <w:sz w:val="20"/>
        </w:rPr>
        <w:t>El pleno de la Suprema Corte de Justicia de la Nación cuando deban dilucidarse las tesis contradictorias sostenidas entre sus salas;</w:t>
      </w:r>
    </w:p>
    <w:p>
      <w:pPr>
        <w:pStyle w:val="BodyText"/>
        <w:spacing w:before="8"/>
        <w:rPr>
          <w:sz w:val="19"/>
        </w:rPr>
      </w:pPr>
    </w:p>
    <w:p>
      <w:pPr>
        <w:pStyle w:val="ListParagraph"/>
        <w:numPr>
          <w:ilvl w:val="0"/>
          <w:numId w:val="48"/>
        </w:numPr>
        <w:tabs>
          <w:tab w:pos="1077" w:val="left" w:leader="none"/>
        </w:tabs>
        <w:spacing w:line="240" w:lineRule="auto" w:before="0" w:after="0"/>
        <w:ind w:left="838" w:right="122" w:firstLine="0"/>
        <w:jc w:val="both"/>
        <w:rPr>
          <w:sz w:val="20"/>
        </w:rPr>
      </w:pPr>
      <w:r>
        <w:rPr>
          <w:sz w:val="20"/>
        </w:rPr>
        <w:t>El pleno o las salas de la Suprema Corte de Justicia de la Nación, según la materia, cuando deban dilucidarse las tesis contradictorias sostenidas entre los Plenos de Circuito de distintos Circuitos, entre los Plenos de Circuito en materia especializada de un mismo Circuito, o sus tribunales de diversa especialidad, así como entre los tribunales colegiados de diferente circuito; y</w:t>
      </w:r>
    </w:p>
    <w:p>
      <w:pPr>
        <w:pStyle w:val="BodyText"/>
      </w:pPr>
    </w:p>
    <w:p>
      <w:pPr>
        <w:pStyle w:val="ListParagraph"/>
        <w:numPr>
          <w:ilvl w:val="0"/>
          <w:numId w:val="48"/>
        </w:numPr>
        <w:tabs>
          <w:tab w:pos="1122" w:val="left" w:leader="none"/>
        </w:tabs>
        <w:spacing w:line="242" w:lineRule="auto" w:before="1" w:after="0"/>
        <w:ind w:left="838" w:right="129" w:firstLine="0"/>
        <w:jc w:val="both"/>
        <w:rPr>
          <w:sz w:val="20"/>
        </w:rPr>
      </w:pPr>
      <w:r>
        <w:rPr>
          <w:sz w:val="20"/>
        </w:rPr>
        <w:t>Los Plenos de Circuito cuando deban dilucidarse las tesis contradictorias sostenidas entre los tribunales colegiados del circuito</w:t>
      </w:r>
      <w:r>
        <w:rPr>
          <w:spacing w:val="-2"/>
          <w:sz w:val="20"/>
        </w:rPr>
        <w:t> </w:t>
      </w:r>
      <w:r>
        <w:rPr>
          <w:sz w:val="20"/>
        </w:rPr>
        <w:t>correspondiente.</w:t>
      </w:r>
    </w:p>
    <w:p>
      <w:pPr>
        <w:pStyle w:val="BodyText"/>
        <w:spacing w:before="8"/>
        <w:rPr>
          <w:sz w:val="19"/>
        </w:rPr>
      </w:pPr>
    </w:p>
    <w:p>
      <w:pPr>
        <w:pStyle w:val="BodyText"/>
        <w:ind w:left="118" w:right="124" w:firstLine="288"/>
        <w:jc w:val="both"/>
      </w:pPr>
      <w:r>
        <w:rPr/>
        <w:t>Al resolverse una contradicción de tesis, el órgano correspondiente podrá acoger uno de los criterios discrepantes, sustentar uno diverso, declararla inexistente, o sin materia. En todo caso, la decisión se determinará por la mayoría de los magistrados que los integran.</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338" w:firstLine="288"/>
      </w:pPr>
      <w:r>
        <w:rPr/>
        <w:t>La resolución que decida la contradicción de tesis no afectará las situaciones jurídicas concretas de los juicios en los cuales se hayan dictado las sentencias que sustentaron las tesis</w:t>
      </w:r>
      <w:r>
        <w:rPr>
          <w:spacing w:val="-14"/>
        </w:rPr>
        <w:t> </w:t>
      </w:r>
      <w:r>
        <w:rPr/>
        <w:t>contradictorias.</w:t>
      </w:r>
    </w:p>
    <w:p>
      <w:pPr>
        <w:pStyle w:val="BodyText"/>
        <w:spacing w:before="11"/>
        <w:rPr>
          <w:sz w:val="19"/>
        </w:rPr>
      </w:pPr>
    </w:p>
    <w:p>
      <w:pPr>
        <w:pStyle w:val="BodyText"/>
        <w:ind w:left="118" w:firstLine="288"/>
      </w:pPr>
      <w:bookmarkStart w:name="Artículo_227" w:id="227"/>
      <w:bookmarkEnd w:id="227"/>
      <w:r>
        <w:rPr/>
      </w:r>
      <w:r>
        <w:rPr>
          <w:b/>
        </w:rPr>
        <w:t>Artículo 227. </w:t>
      </w:r>
      <w:r>
        <w:rPr/>
        <w:t>La legitimación para denunciar las contradicciones de tesis se ajustará a las siguientes reglas:</w:t>
      </w:r>
    </w:p>
    <w:p>
      <w:pPr>
        <w:pStyle w:val="BodyText"/>
        <w:spacing w:before="10"/>
        <w:rPr>
          <w:sz w:val="19"/>
        </w:rPr>
      </w:pPr>
    </w:p>
    <w:p>
      <w:pPr>
        <w:pStyle w:val="ListParagraph"/>
        <w:numPr>
          <w:ilvl w:val="0"/>
          <w:numId w:val="49"/>
        </w:numPr>
        <w:tabs>
          <w:tab w:pos="952" w:val="left" w:leader="none"/>
        </w:tabs>
        <w:spacing w:line="240" w:lineRule="auto" w:before="0" w:after="0"/>
        <w:ind w:left="951" w:right="123" w:hanging="545"/>
        <w:jc w:val="both"/>
        <w:rPr>
          <w:sz w:val="20"/>
        </w:rPr>
      </w:pPr>
      <w:r>
        <w:rPr>
          <w:sz w:val="20"/>
        </w:rPr>
        <w:t>Las contradicciones a que se refiere la fracción I del artículo anterior podrán ser denunciadas ante el Pleno de la Suprema Corte de Justicia de la Nación por los Ministros, los Plenos de Circuito, los Tribunales Colegiados de Circuito y sus integrantes, los Magistrados de los Tribunales Unitarios de Circuito, los Jueces de Distrito, el Procurador General de la República, o las partes en los asuntos que las</w:t>
      </w:r>
      <w:r>
        <w:rPr>
          <w:spacing w:val="-1"/>
          <w:sz w:val="20"/>
        </w:rPr>
        <w:t> </w:t>
      </w:r>
      <w:r>
        <w:rPr>
          <w:sz w:val="20"/>
        </w:rPr>
        <w:t>motivaron.</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17-06-2016</w:t>
      </w:r>
    </w:p>
    <w:p>
      <w:pPr>
        <w:pStyle w:val="BodyText"/>
        <w:spacing w:before="1"/>
        <w:rPr>
          <w:rFonts w:ascii="Times New Roman"/>
          <w:i/>
        </w:rPr>
      </w:pPr>
    </w:p>
    <w:p>
      <w:pPr>
        <w:pStyle w:val="ListParagraph"/>
        <w:numPr>
          <w:ilvl w:val="0"/>
          <w:numId w:val="49"/>
        </w:numPr>
        <w:tabs>
          <w:tab w:pos="952" w:val="left" w:leader="none"/>
        </w:tabs>
        <w:spacing w:line="240" w:lineRule="auto" w:before="1" w:after="0"/>
        <w:ind w:left="951" w:right="115" w:hanging="545"/>
        <w:jc w:val="both"/>
        <w:rPr>
          <w:sz w:val="20"/>
        </w:rPr>
      </w:pPr>
      <w:r>
        <w:rPr>
          <w:sz w:val="20"/>
        </w:rPr>
        <w:t>Las contradicciones a que se refiere la fracción II del artículo anterior podrán ser denunciadas ante la Suprema Corte de Justicia de la Nación por los Ministros, los Plenos de Circuito o los Tribunales Colegiados de Circuito y sus integrantes, que hayan sustentado las tesis discrepantes, el Procurador General de la República, los Magistrados de Tribunal Unitario de Circuito, los Jueces de Distrito, o las partes en los asuntos que las</w:t>
      </w:r>
      <w:r>
        <w:rPr>
          <w:spacing w:val="-8"/>
          <w:sz w:val="20"/>
        </w:rPr>
        <w:t> </w:t>
      </w:r>
      <w:r>
        <w:rPr>
          <w:sz w:val="20"/>
        </w:rPr>
        <w:t>motivaron.</w:t>
      </w:r>
    </w:p>
    <w:p>
      <w:pPr>
        <w:spacing w:line="184" w:lineRule="exact" w:before="0"/>
        <w:ind w:left="7065" w:right="0" w:firstLine="0"/>
        <w:jc w:val="left"/>
        <w:rPr>
          <w:rFonts w:ascii="Times New Roman" w:hAnsi="Times New Roman"/>
          <w:i/>
          <w:sz w:val="16"/>
        </w:rPr>
      </w:pPr>
      <w:r>
        <w:rPr>
          <w:rFonts w:ascii="Times New Roman" w:hAnsi="Times New Roman"/>
          <w:i/>
          <w:color w:val="0000FF"/>
          <w:sz w:val="16"/>
        </w:rPr>
        <w:t>Fracción reformada DOF 17-06-2016</w:t>
      </w:r>
    </w:p>
    <w:p>
      <w:pPr>
        <w:pStyle w:val="BodyText"/>
        <w:spacing w:before="10"/>
        <w:rPr>
          <w:rFonts w:ascii="Times New Roman"/>
          <w:i/>
          <w:sz w:val="19"/>
        </w:rPr>
      </w:pPr>
    </w:p>
    <w:p>
      <w:pPr>
        <w:pStyle w:val="ListParagraph"/>
        <w:numPr>
          <w:ilvl w:val="0"/>
          <w:numId w:val="49"/>
        </w:numPr>
        <w:tabs>
          <w:tab w:pos="952" w:val="left" w:leader="none"/>
        </w:tabs>
        <w:spacing w:line="242" w:lineRule="auto" w:before="0" w:after="0"/>
        <w:ind w:left="951" w:right="113" w:hanging="545"/>
        <w:jc w:val="both"/>
        <w:rPr>
          <w:sz w:val="20"/>
        </w:rPr>
      </w:pPr>
      <w:r>
        <w:rPr>
          <w:sz w:val="20"/>
        </w:rPr>
        <w:t>Las contradicciones a que se refiere la fracción III del artículo anterior, podrán ser denunciadas ante los Plenos de circuito por el Procurador General de la República, los mencionados Tribunales y sus integrantes, los Magistrados de Tribunal Unitario de Circuito, los Jueces de Distrito o las partes en los asuntos que las</w:t>
      </w:r>
      <w:r>
        <w:rPr>
          <w:spacing w:val="1"/>
          <w:sz w:val="20"/>
        </w:rPr>
        <w:t> </w:t>
      </w:r>
      <w:r>
        <w:rPr>
          <w:sz w:val="20"/>
        </w:rPr>
        <w:t>motivaron.</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17-06-2016</w:t>
      </w:r>
    </w:p>
    <w:p>
      <w:pPr>
        <w:pStyle w:val="BodyText"/>
        <w:spacing w:before="10"/>
        <w:rPr>
          <w:rFonts w:ascii="Times New Roman"/>
          <w:i/>
          <w:sz w:val="19"/>
        </w:rPr>
      </w:pPr>
    </w:p>
    <w:p>
      <w:pPr>
        <w:pStyle w:val="Heading1"/>
        <w:spacing w:line="252" w:lineRule="exact" w:before="1"/>
      </w:pPr>
      <w:r>
        <w:rPr/>
        <w:t>CAPÍTULO IV</w:t>
      </w:r>
    </w:p>
    <w:p>
      <w:pPr>
        <w:spacing w:line="252" w:lineRule="exact" w:before="0"/>
        <w:ind w:left="607" w:right="605" w:firstLine="0"/>
        <w:jc w:val="center"/>
        <w:rPr>
          <w:b/>
          <w:sz w:val="22"/>
        </w:rPr>
      </w:pPr>
      <w:r>
        <w:rPr>
          <w:b/>
          <w:sz w:val="22"/>
        </w:rPr>
        <w:t>Interrupción de la Jurisprudencia</w:t>
      </w:r>
    </w:p>
    <w:p>
      <w:pPr>
        <w:pStyle w:val="BodyText"/>
        <w:spacing w:before="1"/>
        <w:rPr>
          <w:b/>
          <w:sz w:val="12"/>
        </w:rPr>
      </w:pPr>
    </w:p>
    <w:p>
      <w:pPr>
        <w:pStyle w:val="BodyText"/>
        <w:spacing w:before="92"/>
        <w:ind w:left="118" w:right="115" w:firstLine="288"/>
        <w:jc w:val="both"/>
      </w:pPr>
      <w:bookmarkStart w:name="Artículo_228" w:id="228"/>
      <w:bookmarkEnd w:id="228"/>
      <w:r>
        <w:rPr/>
      </w:r>
      <w:r>
        <w:rPr>
          <w:b/>
        </w:rPr>
        <w:t>Artículo 228. </w:t>
      </w:r>
      <w:r>
        <w:rPr/>
        <w:t>La jurisprudencia se interrumpe y deja de tener carácter obligatorio cuando se pronuncie sentencia en contrario. En estos casos, en la ejecutoria respectiva deberán expresarse las razones en que se apoye la interrupción, las que se referirán a las consideraciones que se tuvieron para establecer la jurisprudencia</w:t>
      </w:r>
      <w:r>
        <w:rPr>
          <w:spacing w:val="-2"/>
        </w:rPr>
        <w:t> </w:t>
      </w:r>
      <w:r>
        <w:rPr/>
        <w:t>relativa.</w:t>
      </w:r>
    </w:p>
    <w:p>
      <w:pPr>
        <w:pStyle w:val="BodyText"/>
      </w:pPr>
    </w:p>
    <w:p>
      <w:pPr>
        <w:pStyle w:val="BodyText"/>
        <w:spacing w:line="242" w:lineRule="auto"/>
        <w:ind w:left="118" w:right="123" w:firstLine="288"/>
        <w:jc w:val="both"/>
      </w:pPr>
      <w:bookmarkStart w:name="Artículo_229" w:id="229"/>
      <w:bookmarkEnd w:id="229"/>
      <w:r>
        <w:rPr/>
      </w:r>
      <w:r>
        <w:rPr>
          <w:b/>
        </w:rPr>
        <w:t>Artículo 229. </w:t>
      </w:r>
      <w:r>
        <w:rPr/>
        <w:t>Interrumpida la jurisprudencia, para integrar la nueva se observarán las mismas reglas establecidas para su formación.</w:t>
      </w:r>
    </w:p>
    <w:p>
      <w:pPr>
        <w:pStyle w:val="BodyText"/>
        <w:spacing w:before="5"/>
        <w:rPr>
          <w:sz w:val="11"/>
        </w:rPr>
      </w:pPr>
    </w:p>
    <w:p>
      <w:pPr>
        <w:pStyle w:val="Heading1"/>
        <w:spacing w:before="93"/>
      </w:pPr>
      <w:r>
        <w:rPr/>
        <w:t>CAPÍTULO V</w:t>
      </w:r>
    </w:p>
    <w:p>
      <w:pPr>
        <w:spacing w:before="2"/>
        <w:ind w:left="606" w:right="605" w:firstLine="0"/>
        <w:jc w:val="center"/>
        <w:rPr>
          <w:b/>
          <w:sz w:val="22"/>
        </w:rPr>
      </w:pPr>
      <w:r>
        <w:rPr>
          <w:b/>
          <w:sz w:val="22"/>
        </w:rPr>
        <w:t>Jurisprudencia por sustitución</w:t>
      </w:r>
    </w:p>
    <w:p>
      <w:pPr>
        <w:pStyle w:val="BodyText"/>
        <w:spacing w:before="10"/>
        <w:rPr>
          <w:b/>
          <w:sz w:val="19"/>
        </w:rPr>
      </w:pPr>
    </w:p>
    <w:p>
      <w:pPr>
        <w:pStyle w:val="BodyText"/>
        <w:spacing w:line="242" w:lineRule="auto"/>
        <w:ind w:left="118" w:right="114" w:firstLine="288"/>
        <w:jc w:val="both"/>
      </w:pPr>
      <w:bookmarkStart w:name="Artículo_230" w:id="230"/>
      <w:bookmarkEnd w:id="230"/>
      <w:r>
        <w:rPr/>
      </w:r>
      <w:r>
        <w:rPr>
          <w:b/>
        </w:rPr>
        <w:t>Artículo 230. </w:t>
      </w:r>
      <w:r>
        <w:rPr/>
        <w:t>La jurisprudencia que por reiteración o contradicción establezcan el pleno o las salas de la Suprema Corte de Justicia de la Nación, así como los Plenos de Circuito, podrá ser sustituida conforme a las siguientes reglas:</w:t>
      </w:r>
    </w:p>
    <w:p>
      <w:pPr>
        <w:pStyle w:val="BodyText"/>
        <w:spacing w:before="5"/>
        <w:rPr>
          <w:sz w:val="19"/>
        </w:rPr>
      </w:pPr>
    </w:p>
    <w:p>
      <w:pPr>
        <w:pStyle w:val="ListParagraph"/>
        <w:numPr>
          <w:ilvl w:val="1"/>
          <w:numId w:val="49"/>
        </w:numPr>
        <w:tabs>
          <w:tab w:pos="1046" w:val="left" w:leader="none"/>
        </w:tabs>
        <w:spacing w:line="242" w:lineRule="auto" w:before="0" w:after="0"/>
        <w:ind w:left="838" w:right="122" w:firstLine="0"/>
        <w:jc w:val="both"/>
        <w:rPr>
          <w:sz w:val="20"/>
        </w:rPr>
      </w:pPr>
      <w:r>
        <w:rPr>
          <w:sz w:val="20"/>
        </w:rPr>
        <w:t>Cualquier tribunal colegiado de circuito, previa petición de alguno de sus magistrados, con motivo de un caso concreto una vez resuelto, podrán solicitar al Pleno de Circuito al que pertenezcan que sustituya la jurisprudencia que por contradicción haya establecido, para lo cual expresarán las razones por las cuales se estima debe</w:t>
      </w:r>
      <w:r>
        <w:rPr>
          <w:spacing w:val="-1"/>
          <w:sz w:val="20"/>
        </w:rPr>
        <w:t> </w:t>
      </w:r>
      <w:r>
        <w:rPr>
          <w:sz w:val="20"/>
        </w:rPr>
        <w:t>hacerse.</w:t>
      </w:r>
    </w:p>
    <w:p>
      <w:pPr>
        <w:pStyle w:val="BodyText"/>
        <w:spacing w:before="4"/>
        <w:rPr>
          <w:sz w:val="19"/>
        </w:rPr>
      </w:pPr>
    </w:p>
    <w:p>
      <w:pPr>
        <w:pStyle w:val="BodyText"/>
        <w:ind w:left="838" w:right="338"/>
      </w:pPr>
      <w:r>
        <w:rPr/>
        <w:t>Para que los Plenos de Circuito sustituyan la jurisprudencia se requerirá de las dos terceras partes de los magistrados que lo integran.</w:t>
      </w:r>
    </w:p>
    <w:p>
      <w:pPr>
        <w:spacing w:after="0"/>
        <w:sectPr>
          <w:pgSz w:w="12240" w:h="15840"/>
          <w:pgMar w:header="708" w:footer="712" w:top="1760" w:bottom="900" w:left="1300" w:right="1300"/>
        </w:sectPr>
      </w:pPr>
    </w:p>
    <w:p>
      <w:pPr>
        <w:pStyle w:val="BodyText"/>
        <w:spacing w:before="5"/>
        <w:rPr>
          <w:sz w:val="27"/>
        </w:rPr>
      </w:pPr>
    </w:p>
    <w:p>
      <w:pPr>
        <w:pStyle w:val="ListParagraph"/>
        <w:numPr>
          <w:ilvl w:val="1"/>
          <w:numId w:val="49"/>
        </w:numPr>
        <w:tabs>
          <w:tab w:pos="1098" w:val="left" w:leader="none"/>
        </w:tabs>
        <w:spacing w:line="240" w:lineRule="auto" w:before="93" w:after="0"/>
        <w:ind w:left="838" w:right="119" w:firstLine="0"/>
        <w:jc w:val="both"/>
        <w:rPr>
          <w:sz w:val="20"/>
        </w:rPr>
      </w:pPr>
      <w:r>
        <w:rPr>
          <w:sz w:val="20"/>
        </w:rPr>
        <w:t>Cualquiera de los Plenos de Circuito, previa petición de alguno de los magistrados de los tribunales colegiados de su circuito y con motivo de un caso concreto una vez resuelto, podrán solicitar al pleno de la Suprema Corte de Justicia de la Nación, o a la sala correspondiente, que sustituya la jurisprudencia que hayan establecido, para lo cual expresarán las razones por las cuales se estima debe hacerse. La solicitud que, en su caso, enviarían los Plenos de Circuito al pleno de la Suprema Corte de Justicia de la Nación, o a la sala correspondiente, debe ser aprobada por la mayoría de sus</w:t>
      </w:r>
      <w:r>
        <w:rPr>
          <w:spacing w:val="-1"/>
          <w:sz w:val="20"/>
        </w:rPr>
        <w:t> </w:t>
      </w:r>
      <w:r>
        <w:rPr>
          <w:sz w:val="20"/>
        </w:rPr>
        <w:t>integrantes.</w:t>
      </w:r>
    </w:p>
    <w:p>
      <w:pPr>
        <w:pStyle w:val="BodyText"/>
        <w:spacing w:before="1"/>
      </w:pPr>
    </w:p>
    <w:p>
      <w:pPr>
        <w:pStyle w:val="ListParagraph"/>
        <w:numPr>
          <w:ilvl w:val="1"/>
          <w:numId w:val="49"/>
        </w:numPr>
        <w:tabs>
          <w:tab w:pos="1151" w:val="left" w:leader="none"/>
        </w:tabs>
        <w:spacing w:line="240" w:lineRule="auto" w:before="0" w:after="0"/>
        <w:ind w:left="838" w:right="122" w:firstLine="0"/>
        <w:jc w:val="both"/>
        <w:rPr>
          <w:sz w:val="20"/>
        </w:rPr>
      </w:pPr>
      <w:r>
        <w:rPr>
          <w:sz w:val="20"/>
        </w:rPr>
        <w:t>Cualquiera de las salas de la Suprema Corte de Justicia de la Nación, previa petición de alguno de los ministros que las integran, y sólo con motivo de un caso concreto una vez resuelto, podrán solicitar al pleno de la Suprema Corte de Justicia de la Nación que sustituya la jurisprudencia que haya establecido, para lo cual expresarán las razones por las cuales se estima debe hacerse. La solicitud que, en su caso, enviaría la sala correspondiente al pleno de la Suprema Corte de Justicia de la Nación, deberá ser aprobada por la mayoría de sus</w:t>
      </w:r>
      <w:r>
        <w:rPr>
          <w:spacing w:val="-24"/>
          <w:sz w:val="20"/>
        </w:rPr>
        <w:t> </w:t>
      </w:r>
      <w:r>
        <w:rPr>
          <w:sz w:val="20"/>
        </w:rPr>
        <w:t>integrantes.</w:t>
      </w:r>
    </w:p>
    <w:p>
      <w:pPr>
        <w:pStyle w:val="BodyText"/>
        <w:spacing w:before="1"/>
      </w:pPr>
    </w:p>
    <w:p>
      <w:pPr>
        <w:pStyle w:val="BodyText"/>
        <w:ind w:left="118" w:right="115" w:firstLine="288"/>
        <w:jc w:val="both"/>
      </w:pPr>
      <w:r>
        <w:rPr/>
        <w:t>Para que la Suprema Corte de Justicia de la Nación sustituya la jurisprudencia en términos de las fracciones II y III del presente artículo, se requerirá mayoría de cuando menos ocho votos en pleno y cuatro en sala.</w:t>
      </w:r>
    </w:p>
    <w:p>
      <w:pPr>
        <w:pStyle w:val="BodyText"/>
        <w:spacing w:before="2"/>
      </w:pPr>
    </w:p>
    <w:p>
      <w:pPr>
        <w:pStyle w:val="BodyText"/>
        <w:ind w:left="118" w:right="125" w:firstLine="288"/>
        <w:jc w:val="both"/>
      </w:pPr>
      <w:r>
        <w:rPr/>
        <w:t>Cuando se resuelva sustituir la jurisprudencia, dicha resolución no afectará las situaciones jurídicas concretas derivadas de los juicios en los que se hayan dictado las sentencias que la integraron, ni la que se resolvió en el caso concreto que haya motivado la solicitud. Esta resolución se publicará y distribuirá en los términos establecidos en esta</w:t>
      </w:r>
      <w:r>
        <w:rPr>
          <w:spacing w:val="-2"/>
        </w:rPr>
        <w:t> </w:t>
      </w:r>
      <w:r>
        <w:rPr/>
        <w:t>Ley.</w:t>
      </w:r>
    </w:p>
    <w:p>
      <w:pPr>
        <w:pStyle w:val="BodyText"/>
        <w:spacing w:before="7"/>
        <w:rPr>
          <w:sz w:val="11"/>
        </w:rPr>
      </w:pPr>
    </w:p>
    <w:p>
      <w:pPr>
        <w:pStyle w:val="Heading1"/>
        <w:spacing w:line="252" w:lineRule="exact" w:before="94"/>
      </w:pPr>
      <w:r>
        <w:rPr/>
        <w:t>CAPÍTULO VI</w:t>
      </w:r>
    </w:p>
    <w:p>
      <w:pPr>
        <w:spacing w:line="252" w:lineRule="exact" w:before="0"/>
        <w:ind w:left="606" w:right="605" w:firstLine="0"/>
        <w:jc w:val="center"/>
        <w:rPr>
          <w:b/>
          <w:sz w:val="22"/>
        </w:rPr>
      </w:pPr>
      <w:r>
        <w:rPr>
          <w:b/>
          <w:sz w:val="22"/>
        </w:rPr>
        <w:t>Declaratoria General de Inconstitucionalidad</w:t>
      </w:r>
    </w:p>
    <w:p>
      <w:pPr>
        <w:pStyle w:val="BodyText"/>
        <w:spacing w:before="1"/>
        <w:rPr>
          <w:b/>
        </w:rPr>
      </w:pPr>
    </w:p>
    <w:p>
      <w:pPr>
        <w:pStyle w:val="BodyText"/>
        <w:ind w:left="118" w:right="122" w:firstLine="288"/>
        <w:jc w:val="both"/>
      </w:pPr>
      <w:bookmarkStart w:name="Artículo_231" w:id="231"/>
      <w:bookmarkEnd w:id="231"/>
      <w:r>
        <w:rPr/>
      </w:r>
      <w:r>
        <w:rPr>
          <w:b/>
        </w:rPr>
        <w:t>Artículo 231. </w:t>
      </w:r>
      <w:r>
        <w:rPr/>
        <w:t>Cuando las salas o el pleno de la Suprema Corte de Justicia de la Nación, en los juicios de amparo indirecto en revisión, resuelvan la inconstitucionalidad de una norma general por segunda ocasión consecutiva, en una o en distintas sesiones, el presidente de la sala respectiva o de la Suprema Corte de Justicia de la Nación lo informará a la autoridad emisora de la norma.</w:t>
      </w:r>
    </w:p>
    <w:p>
      <w:pPr>
        <w:pStyle w:val="BodyText"/>
        <w:spacing w:before="3"/>
      </w:pPr>
    </w:p>
    <w:p>
      <w:pPr>
        <w:pStyle w:val="BodyText"/>
        <w:ind w:left="406"/>
      </w:pPr>
      <w:r>
        <w:rPr/>
        <w:t>Lo dispuesto en el presente Capítulo no será aplicable a normas en materia tributaria.</w:t>
      </w:r>
    </w:p>
    <w:p>
      <w:pPr>
        <w:pStyle w:val="BodyText"/>
        <w:spacing w:before="7"/>
        <w:rPr>
          <w:sz w:val="19"/>
        </w:rPr>
      </w:pPr>
    </w:p>
    <w:p>
      <w:pPr>
        <w:pStyle w:val="BodyText"/>
        <w:spacing w:line="242" w:lineRule="auto"/>
        <w:ind w:left="118" w:right="125" w:firstLine="288"/>
        <w:jc w:val="both"/>
      </w:pPr>
      <w:bookmarkStart w:name="Artículo_232" w:id="232"/>
      <w:bookmarkEnd w:id="232"/>
      <w:r>
        <w:rPr/>
      </w:r>
      <w:r>
        <w:rPr>
          <w:b/>
        </w:rPr>
        <w:t>Artículo 232. </w:t>
      </w:r>
      <w:r>
        <w:rPr/>
        <w:t>Cuando el pleno o las salas de la Suprema Corte de Justicia de la Nación, en los juicios de amparo indirecto en revisión, establezcan jurisprudencia por reiteración, en la cual se determine la inconstitucionalidad de la misma norma general, se procederá a la notificación a que se refiere el tercer párrafo de la fracción II del artículo 107 de la Constitución Política de los Estados Unidos Mexicanos.</w:t>
      </w:r>
    </w:p>
    <w:p>
      <w:pPr>
        <w:pStyle w:val="BodyText"/>
        <w:spacing w:before="5"/>
        <w:rPr>
          <w:sz w:val="19"/>
        </w:rPr>
      </w:pPr>
    </w:p>
    <w:p>
      <w:pPr>
        <w:pStyle w:val="BodyText"/>
        <w:ind w:left="118" w:right="116" w:firstLine="288"/>
        <w:jc w:val="both"/>
      </w:pPr>
      <w:r>
        <w:rPr/>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pPr>
        <w:pStyle w:val="BodyText"/>
        <w:spacing w:before="2"/>
      </w:pPr>
    </w:p>
    <w:p>
      <w:pPr>
        <w:pStyle w:val="BodyText"/>
        <w:spacing w:before="1"/>
        <w:ind w:left="118" w:right="122" w:firstLine="288"/>
        <w:jc w:val="both"/>
      </w:pPr>
      <w:r>
        <w:rPr/>
        <w:t>Cuando el órgano emisor de la norma sea el órgano legislativo federal o local, el plazo referido en el párrafo anterior se computará dentro de los días útiles de los periodos ordinarios de sesiones determinados en la Constitución Federal, en el Estatuto de Gobierno del Distrito Federal, o en la Constitución Local, según corresponda.</w:t>
      </w:r>
    </w:p>
    <w:p>
      <w:pPr>
        <w:pStyle w:val="BodyText"/>
        <w:spacing w:before="8"/>
        <w:rPr>
          <w:sz w:val="19"/>
        </w:rPr>
      </w:pPr>
    </w:p>
    <w:p>
      <w:pPr>
        <w:pStyle w:val="BodyText"/>
        <w:ind w:left="118" w:right="120" w:firstLine="288"/>
        <w:jc w:val="both"/>
      </w:pPr>
      <w:bookmarkStart w:name="Artículo_233" w:id="233"/>
      <w:bookmarkEnd w:id="233"/>
      <w:r>
        <w:rPr/>
      </w:r>
      <w:r>
        <w:rPr>
          <w:b/>
        </w:rPr>
        <w:t>Artículo 233. </w:t>
      </w:r>
      <w:r>
        <w:rPr/>
        <w:t>Los plenos de circuito, conforme a los acuerdos generales que emita la Suprema Corte de Justicia de la Nación, podrán solicitar a ésta, por mayoría de sus integrantes, que inicie el procedimiento de declaratoria general de inconstitucionalidad cuando dentro de su circuito se haya</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emitido jurisprudencia derivada de amparos indirectos en revisión en la que se declare la inconstitucionalidad de una norma general.</w:t>
      </w:r>
    </w:p>
    <w:p>
      <w:pPr>
        <w:pStyle w:val="BodyText"/>
        <w:spacing w:before="11"/>
        <w:rPr>
          <w:sz w:val="19"/>
        </w:rPr>
      </w:pPr>
    </w:p>
    <w:p>
      <w:pPr>
        <w:pStyle w:val="BodyText"/>
        <w:ind w:left="118" w:firstLine="288"/>
      </w:pPr>
      <w:bookmarkStart w:name="Artículo_234" w:id="234"/>
      <w:bookmarkEnd w:id="234"/>
      <w:r>
        <w:rPr/>
      </w:r>
      <w:r>
        <w:rPr>
          <w:b/>
        </w:rPr>
        <w:t>Artículo 234. </w:t>
      </w:r>
      <w:r>
        <w:rPr/>
        <w:t>La declaratoria en ningún caso podrá modificar el sentido de la jurisprudencia que le da origen, será obligatoria, tendrá efectos generales y establecerá:</w:t>
      </w:r>
    </w:p>
    <w:p>
      <w:pPr>
        <w:pStyle w:val="BodyText"/>
        <w:spacing w:before="10"/>
        <w:rPr>
          <w:sz w:val="19"/>
        </w:rPr>
      </w:pPr>
    </w:p>
    <w:p>
      <w:pPr>
        <w:pStyle w:val="ListParagraph"/>
        <w:numPr>
          <w:ilvl w:val="0"/>
          <w:numId w:val="50"/>
        </w:numPr>
        <w:tabs>
          <w:tab w:pos="1005" w:val="left" w:leader="none"/>
        </w:tabs>
        <w:spacing w:line="240" w:lineRule="auto" w:before="0" w:after="0"/>
        <w:ind w:left="1004" w:right="0" w:hanging="167"/>
        <w:jc w:val="left"/>
        <w:rPr>
          <w:sz w:val="20"/>
        </w:rPr>
      </w:pPr>
      <w:r>
        <w:rPr>
          <w:sz w:val="20"/>
        </w:rPr>
        <w:t>La fecha a partir de la cual surtirá sus efectos;</w:t>
      </w:r>
      <w:r>
        <w:rPr>
          <w:spacing w:val="-6"/>
          <w:sz w:val="20"/>
        </w:rPr>
        <w:t> </w:t>
      </w:r>
      <w:r>
        <w:rPr>
          <w:sz w:val="20"/>
        </w:rPr>
        <w:t>y</w:t>
      </w:r>
    </w:p>
    <w:p>
      <w:pPr>
        <w:pStyle w:val="BodyText"/>
        <w:spacing w:before="1"/>
      </w:pPr>
    </w:p>
    <w:p>
      <w:pPr>
        <w:pStyle w:val="ListParagraph"/>
        <w:numPr>
          <w:ilvl w:val="0"/>
          <w:numId w:val="50"/>
        </w:numPr>
        <w:tabs>
          <w:tab w:pos="1060" w:val="left" w:leader="none"/>
        </w:tabs>
        <w:spacing w:line="240" w:lineRule="auto" w:before="0" w:after="0"/>
        <w:ind w:left="1059" w:right="0" w:hanging="222"/>
        <w:jc w:val="left"/>
        <w:rPr>
          <w:sz w:val="20"/>
        </w:rPr>
      </w:pPr>
      <w:r>
        <w:rPr>
          <w:sz w:val="20"/>
        </w:rPr>
        <w:t>Los alcances y las condiciones de la declaratoria de</w:t>
      </w:r>
      <w:r>
        <w:rPr>
          <w:spacing w:val="-3"/>
          <w:sz w:val="20"/>
        </w:rPr>
        <w:t> </w:t>
      </w:r>
      <w:r>
        <w:rPr>
          <w:sz w:val="20"/>
        </w:rPr>
        <w:t>inconstitucionalidad.</w:t>
      </w:r>
    </w:p>
    <w:p>
      <w:pPr>
        <w:pStyle w:val="BodyText"/>
        <w:spacing w:before="1"/>
      </w:pPr>
    </w:p>
    <w:p>
      <w:pPr>
        <w:pStyle w:val="BodyText"/>
        <w:ind w:left="118" w:right="338" w:firstLine="288"/>
      </w:pPr>
      <w:r>
        <w:rPr/>
        <w:t>Los efectos de estas declaratorias no serán retroactivos salvo en materia penal, en términos del párrafo primero del artículo 14 de la Constitución Política de los Estados Unidos Mexicanos.</w:t>
      </w:r>
    </w:p>
    <w:p>
      <w:pPr>
        <w:pStyle w:val="BodyText"/>
        <w:spacing w:before="11"/>
        <w:rPr>
          <w:sz w:val="19"/>
        </w:rPr>
      </w:pPr>
    </w:p>
    <w:p>
      <w:pPr>
        <w:pStyle w:val="BodyText"/>
        <w:ind w:left="118" w:right="123" w:firstLine="288"/>
        <w:jc w:val="both"/>
      </w:pPr>
      <w:bookmarkStart w:name="Artículo_235" w:id="235"/>
      <w:bookmarkEnd w:id="235"/>
      <w:r>
        <w:rPr/>
      </w:r>
      <w:r>
        <w:rPr>
          <w:b/>
        </w:rPr>
        <w:t>Artículo 235. </w:t>
      </w:r>
      <w:r>
        <w:rPr/>
        <w:t>La declaratoria general de inconstitucionalidad se remitirá al Diario Oficial de la Federación y al órgano oficial en el que se hubiera publicado la norma declarada inconstitucional para su publicación dentro del plazo de siete días hábiles.</w:t>
      </w:r>
    </w:p>
    <w:p>
      <w:pPr>
        <w:pStyle w:val="BodyText"/>
        <w:spacing w:before="11"/>
        <w:rPr>
          <w:sz w:val="19"/>
        </w:rPr>
      </w:pPr>
    </w:p>
    <w:p>
      <w:pPr>
        <w:pStyle w:val="Heading1"/>
      </w:pPr>
      <w:r>
        <w:rPr/>
        <w:t>TÍTULO QUINTO</w:t>
      </w:r>
    </w:p>
    <w:p>
      <w:pPr>
        <w:spacing w:before="1"/>
        <w:ind w:left="607" w:right="604" w:firstLine="0"/>
        <w:jc w:val="center"/>
        <w:rPr>
          <w:b/>
          <w:sz w:val="22"/>
        </w:rPr>
      </w:pPr>
      <w:r>
        <w:rPr>
          <w:b/>
          <w:sz w:val="22"/>
        </w:rPr>
        <w:t>Medidas Disciplinarias y de Apremio, Responsabilidades, Sanciones y Delitos</w:t>
      </w:r>
    </w:p>
    <w:p>
      <w:pPr>
        <w:pStyle w:val="BodyText"/>
        <w:spacing w:before="10"/>
        <w:rPr>
          <w:b/>
          <w:sz w:val="21"/>
        </w:rPr>
      </w:pPr>
    </w:p>
    <w:p>
      <w:pPr>
        <w:spacing w:before="0"/>
        <w:ind w:left="605" w:right="605" w:firstLine="0"/>
        <w:jc w:val="center"/>
        <w:rPr>
          <w:b/>
          <w:sz w:val="22"/>
        </w:rPr>
      </w:pPr>
      <w:r>
        <w:rPr>
          <w:b/>
          <w:sz w:val="22"/>
        </w:rPr>
        <w:t>CAPÍTULO I</w:t>
      </w:r>
    </w:p>
    <w:p>
      <w:pPr>
        <w:spacing w:before="1"/>
        <w:ind w:left="604" w:right="605" w:firstLine="0"/>
        <w:jc w:val="center"/>
        <w:rPr>
          <w:b/>
          <w:sz w:val="22"/>
        </w:rPr>
      </w:pPr>
      <w:r>
        <w:rPr>
          <w:b/>
          <w:sz w:val="22"/>
        </w:rPr>
        <w:t>Medidas Disciplinarias y de Apremio</w:t>
      </w:r>
    </w:p>
    <w:p>
      <w:pPr>
        <w:pStyle w:val="BodyText"/>
        <w:spacing w:before="11"/>
        <w:rPr>
          <w:b/>
          <w:sz w:val="19"/>
        </w:rPr>
      </w:pPr>
    </w:p>
    <w:p>
      <w:pPr>
        <w:pStyle w:val="BodyText"/>
        <w:ind w:left="118" w:right="121" w:firstLine="288"/>
        <w:jc w:val="both"/>
      </w:pPr>
      <w:bookmarkStart w:name="Artículo_236" w:id="236"/>
      <w:bookmarkEnd w:id="236"/>
      <w:r>
        <w:rPr/>
      </w:r>
      <w:r>
        <w:rPr>
          <w:b/>
        </w:rPr>
        <w:t>Artículo 236. </w:t>
      </w:r>
      <w:r>
        <w:rPr/>
        <w:t>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pPr>
        <w:pStyle w:val="BodyText"/>
      </w:pPr>
    </w:p>
    <w:p>
      <w:pPr>
        <w:pStyle w:val="ListParagraph"/>
        <w:numPr>
          <w:ilvl w:val="0"/>
          <w:numId w:val="51"/>
        </w:numPr>
        <w:tabs>
          <w:tab w:pos="1005" w:val="left" w:leader="none"/>
        </w:tabs>
        <w:spacing w:line="240" w:lineRule="auto" w:before="0" w:after="0"/>
        <w:ind w:left="1004" w:right="0" w:hanging="167"/>
        <w:jc w:val="left"/>
        <w:rPr>
          <w:sz w:val="20"/>
        </w:rPr>
      </w:pPr>
      <w:r>
        <w:rPr>
          <w:sz w:val="20"/>
        </w:rPr>
        <w:t>Multa;</w:t>
      </w:r>
      <w:r>
        <w:rPr>
          <w:spacing w:val="2"/>
          <w:sz w:val="20"/>
        </w:rPr>
        <w:t> </w:t>
      </w:r>
      <w:r>
        <w:rPr>
          <w:sz w:val="20"/>
        </w:rPr>
        <w:t>y</w:t>
      </w:r>
    </w:p>
    <w:p>
      <w:pPr>
        <w:pStyle w:val="BodyText"/>
        <w:spacing w:before="1"/>
      </w:pPr>
    </w:p>
    <w:p>
      <w:pPr>
        <w:pStyle w:val="ListParagraph"/>
        <w:numPr>
          <w:ilvl w:val="0"/>
          <w:numId w:val="51"/>
        </w:numPr>
        <w:tabs>
          <w:tab w:pos="1072" w:val="left" w:leader="none"/>
        </w:tabs>
        <w:spacing w:line="242" w:lineRule="auto" w:before="0" w:after="0"/>
        <w:ind w:left="838" w:right="120" w:firstLine="0"/>
        <w:jc w:val="both"/>
        <w:rPr>
          <w:sz w:val="20"/>
        </w:rPr>
      </w:pPr>
      <w:r>
        <w:rPr>
          <w:sz w:val="20"/>
        </w:rPr>
        <w:t>Expulsión del recinto judicial o del lugar donde se celebre la audiencia. En casos extremos, la audiencia podrá continuar en</w:t>
      </w:r>
      <w:r>
        <w:rPr>
          <w:spacing w:val="-2"/>
          <w:sz w:val="20"/>
        </w:rPr>
        <w:t> </w:t>
      </w:r>
      <w:r>
        <w:rPr>
          <w:sz w:val="20"/>
        </w:rPr>
        <w:t>privado.</w:t>
      </w:r>
    </w:p>
    <w:p>
      <w:pPr>
        <w:pStyle w:val="BodyText"/>
        <w:spacing w:before="8"/>
        <w:rPr>
          <w:sz w:val="19"/>
        </w:rPr>
      </w:pPr>
    </w:p>
    <w:p>
      <w:pPr>
        <w:pStyle w:val="BodyText"/>
        <w:ind w:left="118" w:right="338" w:firstLine="288"/>
      </w:pPr>
      <w:r>
        <w:rPr/>
        <w:t>Para estos efectos las autoridades policiacas, federales, estatales y municipales deberán prestar auxilio a los órganos jurisdiccionales de amparo cuando lo soliciten.</w:t>
      </w:r>
    </w:p>
    <w:p>
      <w:pPr>
        <w:pStyle w:val="BodyText"/>
        <w:spacing w:before="10"/>
        <w:rPr>
          <w:sz w:val="19"/>
        </w:rPr>
      </w:pPr>
    </w:p>
    <w:p>
      <w:pPr>
        <w:pStyle w:val="BodyText"/>
        <w:spacing w:line="242" w:lineRule="auto"/>
        <w:ind w:left="118" w:right="124" w:firstLine="288"/>
        <w:jc w:val="both"/>
      </w:pPr>
      <w:bookmarkStart w:name="Artículo_237" w:id="237"/>
      <w:bookmarkEnd w:id="237"/>
      <w:r>
        <w:rPr/>
      </w:r>
      <w:r>
        <w:rPr>
          <w:b/>
        </w:rPr>
        <w:t>Artículo 237. </w:t>
      </w:r>
      <w:r>
        <w:rPr/>
        <w:t>Para hacer cumplir sus determinaciones, los órganos jurisdiccionales de amparo, bajo su criterio y responsabilidad, podrán hacer uso, indistintamente, de las siguientes medidas de</w:t>
      </w:r>
      <w:r>
        <w:rPr>
          <w:spacing w:val="-17"/>
        </w:rPr>
        <w:t> </w:t>
      </w:r>
      <w:r>
        <w:rPr/>
        <w:t>apremio:</w:t>
      </w:r>
    </w:p>
    <w:p>
      <w:pPr>
        <w:pStyle w:val="BodyText"/>
        <w:spacing w:before="6"/>
        <w:rPr>
          <w:sz w:val="19"/>
        </w:rPr>
      </w:pPr>
    </w:p>
    <w:p>
      <w:pPr>
        <w:pStyle w:val="ListParagraph"/>
        <w:numPr>
          <w:ilvl w:val="0"/>
          <w:numId w:val="52"/>
        </w:numPr>
        <w:tabs>
          <w:tab w:pos="1005" w:val="left" w:leader="none"/>
        </w:tabs>
        <w:spacing w:line="240" w:lineRule="auto" w:before="0" w:after="0"/>
        <w:ind w:left="1004" w:right="0" w:hanging="167"/>
        <w:jc w:val="left"/>
        <w:rPr>
          <w:sz w:val="20"/>
        </w:rPr>
      </w:pPr>
      <w:r>
        <w:rPr>
          <w:sz w:val="20"/>
        </w:rPr>
        <w:t>Multa;</w:t>
      </w:r>
    </w:p>
    <w:p>
      <w:pPr>
        <w:pStyle w:val="BodyText"/>
        <w:spacing w:before="1"/>
      </w:pPr>
    </w:p>
    <w:p>
      <w:pPr>
        <w:pStyle w:val="ListParagraph"/>
        <w:numPr>
          <w:ilvl w:val="0"/>
          <w:numId w:val="52"/>
        </w:numPr>
        <w:tabs>
          <w:tab w:pos="1067" w:val="left" w:leader="none"/>
        </w:tabs>
        <w:spacing w:line="242" w:lineRule="auto" w:before="0" w:after="0"/>
        <w:ind w:left="838" w:right="127" w:firstLine="0"/>
        <w:jc w:val="both"/>
        <w:rPr>
          <w:sz w:val="20"/>
        </w:rPr>
      </w:pPr>
      <w:r>
        <w:rPr>
          <w:sz w:val="20"/>
        </w:rPr>
        <w:t>Auxilio de la fuerza pública que deberán prestar las autoridades policiacas federales, estatales o municipales;</w:t>
      </w:r>
      <w:r>
        <w:rPr>
          <w:spacing w:val="2"/>
          <w:sz w:val="20"/>
        </w:rPr>
        <w:t> </w:t>
      </w:r>
      <w:r>
        <w:rPr>
          <w:sz w:val="20"/>
        </w:rPr>
        <w:t>y</w:t>
      </w:r>
    </w:p>
    <w:p>
      <w:pPr>
        <w:pStyle w:val="BodyText"/>
        <w:spacing w:before="6"/>
        <w:rPr>
          <w:sz w:val="19"/>
        </w:rPr>
      </w:pPr>
    </w:p>
    <w:p>
      <w:pPr>
        <w:pStyle w:val="ListParagraph"/>
        <w:numPr>
          <w:ilvl w:val="0"/>
          <w:numId w:val="52"/>
        </w:numPr>
        <w:tabs>
          <w:tab w:pos="1118" w:val="left" w:leader="none"/>
        </w:tabs>
        <w:spacing w:line="240" w:lineRule="auto" w:before="0" w:after="0"/>
        <w:ind w:left="838" w:right="119" w:firstLine="0"/>
        <w:jc w:val="both"/>
        <w:rPr>
          <w:sz w:val="20"/>
        </w:rPr>
      </w:pPr>
      <w:r>
        <w:rPr>
          <w:sz w:val="20"/>
        </w:rPr>
        <w:t>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Procurador General de la República.</w:t>
      </w:r>
    </w:p>
    <w:p>
      <w:pPr>
        <w:pStyle w:val="BodyText"/>
        <w:spacing w:before="11"/>
        <w:rPr>
          <w:sz w:val="11"/>
        </w:rPr>
      </w:pPr>
    </w:p>
    <w:p>
      <w:pPr>
        <w:pStyle w:val="Heading1"/>
        <w:spacing w:before="93"/>
      </w:pPr>
      <w:r>
        <w:rPr/>
        <w:t>CAPÍTULO II</w:t>
      </w:r>
    </w:p>
    <w:p>
      <w:pPr>
        <w:spacing w:before="2"/>
        <w:ind w:left="607" w:right="604" w:firstLine="0"/>
        <w:jc w:val="center"/>
        <w:rPr>
          <w:b/>
          <w:sz w:val="22"/>
        </w:rPr>
      </w:pPr>
      <w:r>
        <w:rPr>
          <w:b/>
          <w:sz w:val="22"/>
        </w:rPr>
        <w:t>Responsabilidades y Sanciones</w:t>
      </w:r>
    </w:p>
    <w:p>
      <w:pPr>
        <w:spacing w:after="0"/>
        <w:jc w:val="center"/>
        <w:rPr>
          <w:sz w:val="22"/>
        </w:rPr>
        <w:sectPr>
          <w:pgSz w:w="12240" w:h="15840"/>
          <w:pgMar w:header="708" w:footer="712" w:top="1760" w:bottom="900" w:left="1300" w:right="1300"/>
        </w:sectPr>
      </w:pPr>
    </w:p>
    <w:p>
      <w:pPr>
        <w:pStyle w:val="BodyText"/>
        <w:rPr>
          <w:b/>
        </w:rPr>
      </w:pPr>
    </w:p>
    <w:p>
      <w:pPr>
        <w:pStyle w:val="BodyText"/>
        <w:spacing w:before="6"/>
        <w:rPr>
          <w:b/>
          <w:sz w:val="27"/>
        </w:rPr>
      </w:pPr>
    </w:p>
    <w:p>
      <w:pPr>
        <w:pStyle w:val="BodyText"/>
        <w:spacing w:before="92"/>
        <w:ind w:left="118" w:right="122" w:firstLine="288"/>
        <w:jc w:val="both"/>
      </w:pPr>
      <w:bookmarkStart w:name="Artículo_238" w:id="238"/>
      <w:bookmarkEnd w:id="238"/>
      <w:r>
        <w:rPr/>
      </w:r>
      <w:r>
        <w:rPr>
          <w:b/>
        </w:rPr>
        <w:t>Artículo 238. </w:t>
      </w:r>
      <w:r>
        <w:rPr/>
        <w:t>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resuelva el órgano jurisdiccional de amparo.</w:t>
      </w:r>
    </w:p>
    <w:p>
      <w:pPr>
        <w:pStyle w:val="BodyText"/>
        <w:spacing w:before="3"/>
      </w:pPr>
    </w:p>
    <w:p>
      <w:pPr>
        <w:pStyle w:val="BodyText"/>
        <w:ind w:left="118" w:right="119" w:firstLine="288"/>
        <w:jc w:val="both"/>
      </w:pPr>
      <w:r>
        <w:rPr/>
        <w:t>Si el infractor fuera jornalero, obrero o trabajador, la multa no podrá exceder de su jornal o salario de un día.</w:t>
      </w:r>
    </w:p>
    <w:p>
      <w:pPr>
        <w:pStyle w:val="BodyText"/>
        <w:spacing w:before="8"/>
        <w:rPr>
          <w:sz w:val="19"/>
        </w:rPr>
      </w:pPr>
    </w:p>
    <w:p>
      <w:pPr>
        <w:pStyle w:val="BodyText"/>
        <w:spacing w:line="242" w:lineRule="auto"/>
        <w:ind w:left="118" w:right="116" w:firstLine="288"/>
        <w:jc w:val="both"/>
      </w:pPr>
      <w:bookmarkStart w:name="Artículo_239" w:id="239"/>
      <w:bookmarkEnd w:id="239"/>
      <w:r>
        <w:rPr/>
      </w:r>
      <w:r>
        <w:rPr>
          <w:b/>
        </w:rPr>
        <w:t>Artículo 239. </w:t>
      </w:r>
      <w:r>
        <w:rPr/>
        <w:t>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BodyText"/>
        <w:rPr>
          <w:sz w:val="19"/>
        </w:rPr>
      </w:pPr>
    </w:p>
    <w:p>
      <w:pPr>
        <w:pStyle w:val="BodyText"/>
        <w:spacing w:line="242" w:lineRule="auto" w:before="1"/>
        <w:ind w:left="118" w:right="125" w:firstLine="288"/>
        <w:jc w:val="both"/>
      </w:pPr>
      <w:bookmarkStart w:name="Artículo_240" w:id="240"/>
      <w:bookmarkEnd w:id="240"/>
      <w:r>
        <w:rPr/>
      </w:r>
      <w:r>
        <w:rPr>
          <w:b/>
        </w:rPr>
        <w:t>Artículo 240. </w:t>
      </w:r>
      <w:r>
        <w:rPr/>
        <w:t>En el caso del artículo 11 de esta Ley, si quien promueve no tiene la representación que afirma, se le impondrá multa de treinta a trescientos días.</w:t>
      </w:r>
    </w:p>
    <w:p>
      <w:pPr>
        <w:pStyle w:val="BodyText"/>
        <w:spacing w:before="8"/>
        <w:rPr>
          <w:sz w:val="19"/>
        </w:rPr>
      </w:pPr>
    </w:p>
    <w:p>
      <w:pPr>
        <w:pStyle w:val="BodyText"/>
        <w:spacing w:line="242" w:lineRule="auto"/>
        <w:ind w:left="118" w:right="121" w:firstLine="288"/>
        <w:jc w:val="both"/>
      </w:pPr>
      <w:bookmarkStart w:name="Artículo_241" w:id="241"/>
      <w:bookmarkEnd w:id="241"/>
      <w:r>
        <w:rPr/>
      </w:r>
      <w:r>
        <w:rPr>
          <w:b/>
        </w:rPr>
        <w:t>Artículo 241. </w:t>
      </w:r>
      <w:r>
        <w:rPr/>
        <w:t>Tratándose de lo previsto en el artículo 14 de esta Ley, si quien afirma ser defensor no lo demuestra, se le impondrá una multa de cincuenta a quinientos</w:t>
      </w:r>
      <w:r>
        <w:rPr>
          <w:spacing w:val="-7"/>
        </w:rPr>
        <w:t> </w:t>
      </w:r>
      <w:r>
        <w:rPr/>
        <w:t>días.</w:t>
      </w:r>
    </w:p>
    <w:p>
      <w:pPr>
        <w:pStyle w:val="BodyText"/>
        <w:spacing w:before="5"/>
        <w:rPr>
          <w:sz w:val="19"/>
        </w:rPr>
      </w:pPr>
    </w:p>
    <w:p>
      <w:pPr>
        <w:pStyle w:val="BodyText"/>
        <w:spacing w:line="242" w:lineRule="auto" w:before="1"/>
        <w:ind w:left="118" w:right="122" w:firstLine="288"/>
        <w:jc w:val="both"/>
      </w:pPr>
      <w:bookmarkStart w:name="Artículo_242" w:id="242"/>
      <w:bookmarkEnd w:id="242"/>
      <w:r>
        <w:rPr/>
      </w:r>
      <w:r>
        <w:rPr>
          <w:b/>
        </w:rPr>
        <w:t>Artículo 242. </w:t>
      </w:r>
      <w:r>
        <w:rPr/>
        <w:t>En el caso del párrafo tercero del artículo 16 de esta Ley, a la parte que teniendo conocimiento del fallecimiento del quejoso o del tercero interesado no lo comunique al órgano jurisdiccional de amparo, se le impondrá multa de cincuenta a quinientos días.</w:t>
      </w:r>
    </w:p>
    <w:p>
      <w:pPr>
        <w:pStyle w:val="BodyText"/>
        <w:spacing w:before="6"/>
        <w:rPr>
          <w:sz w:val="19"/>
        </w:rPr>
      </w:pPr>
    </w:p>
    <w:p>
      <w:pPr>
        <w:pStyle w:val="BodyText"/>
        <w:ind w:left="118" w:right="122" w:firstLine="288"/>
        <w:jc w:val="both"/>
      </w:pPr>
      <w:bookmarkStart w:name="Artículo_243" w:id="243"/>
      <w:bookmarkEnd w:id="243"/>
      <w:r>
        <w:rPr/>
      </w:r>
      <w:r>
        <w:rPr>
          <w:b/>
        </w:rPr>
        <w:t>Artículo 243. </w:t>
      </w:r>
      <w:r>
        <w:rPr/>
        <w:t>En el caso de los artículos 20, párrafo segundo y 24 de esta Ley, si los jefes o encargados de las oficinas públicas de comunicaciones se niegan a recibir o transmitir los mensajes de referencia, se les impondrá multa de cien a mil días.</w:t>
      </w:r>
    </w:p>
    <w:p>
      <w:pPr>
        <w:pStyle w:val="BodyText"/>
        <w:spacing w:before="11"/>
        <w:rPr>
          <w:sz w:val="19"/>
        </w:rPr>
      </w:pPr>
    </w:p>
    <w:p>
      <w:pPr>
        <w:pStyle w:val="BodyText"/>
        <w:spacing w:line="242" w:lineRule="auto"/>
        <w:ind w:left="118" w:right="116" w:firstLine="288"/>
        <w:jc w:val="both"/>
      </w:pPr>
      <w:bookmarkStart w:name="Artículo_244" w:id="244"/>
      <w:bookmarkEnd w:id="244"/>
      <w:r>
        <w:rPr/>
      </w:r>
      <w:r>
        <w:rPr>
          <w:b/>
        </w:rPr>
        <w:t>Artículo 244. </w:t>
      </w:r>
      <w:r>
        <w:rPr/>
        <w:t>En el caso del artículo 27, fracción III, inciso b) de esta Ley, a la autoridad responsable que no proporcione el domicilio del tercero interesado se le impondrá multa de cien a mil días.</w:t>
      </w:r>
    </w:p>
    <w:p>
      <w:pPr>
        <w:pStyle w:val="BodyText"/>
        <w:spacing w:before="6"/>
        <w:rPr>
          <w:sz w:val="19"/>
        </w:rPr>
      </w:pPr>
    </w:p>
    <w:p>
      <w:pPr>
        <w:pStyle w:val="BodyText"/>
        <w:spacing w:line="242" w:lineRule="auto"/>
        <w:ind w:left="118" w:right="126" w:firstLine="288"/>
        <w:jc w:val="both"/>
      </w:pPr>
      <w:bookmarkStart w:name="Artículo_245" w:id="245"/>
      <w:bookmarkEnd w:id="245"/>
      <w:r>
        <w:rPr/>
      </w:r>
      <w:r>
        <w:rPr>
          <w:b/>
        </w:rPr>
        <w:t>Artículo 245. </w:t>
      </w:r>
      <w:r>
        <w:rPr/>
        <w:t>En el caso del artículo 28, fracción I de esta Ley, a la autoridad responsable que se niegue a recibir la notificación se le impondrá multa de cien a mil días.</w:t>
      </w:r>
    </w:p>
    <w:p>
      <w:pPr>
        <w:pStyle w:val="BodyText"/>
        <w:spacing w:before="8"/>
        <w:rPr>
          <w:sz w:val="19"/>
        </w:rPr>
      </w:pPr>
    </w:p>
    <w:p>
      <w:pPr>
        <w:pStyle w:val="BodyText"/>
        <w:spacing w:line="242" w:lineRule="auto"/>
        <w:ind w:left="118" w:right="126" w:firstLine="288"/>
        <w:jc w:val="both"/>
      </w:pPr>
      <w:bookmarkStart w:name="Artículo_246" w:id="246"/>
      <w:bookmarkEnd w:id="246"/>
      <w:r>
        <w:rPr/>
      </w:r>
      <w:r>
        <w:rPr>
          <w:b/>
        </w:rPr>
        <w:t>Artículo 246. </w:t>
      </w:r>
      <w:r>
        <w:rPr/>
        <w:t>En el caso del artículo 28, fracción II de esta Ley, si el encargado de la oficina pública de comunicaciones no envía el oficio de referencia, se le impondrá multa de cien a mil</w:t>
      </w:r>
      <w:r>
        <w:rPr>
          <w:spacing w:val="-13"/>
        </w:rPr>
        <w:t> </w:t>
      </w:r>
      <w:r>
        <w:rPr/>
        <w:t>días.</w:t>
      </w:r>
    </w:p>
    <w:p>
      <w:pPr>
        <w:pStyle w:val="BodyText"/>
        <w:spacing w:before="5"/>
        <w:rPr>
          <w:sz w:val="19"/>
        </w:rPr>
      </w:pPr>
    </w:p>
    <w:p>
      <w:pPr>
        <w:pStyle w:val="BodyText"/>
        <w:spacing w:line="242" w:lineRule="auto" w:before="1"/>
        <w:ind w:left="118" w:right="118" w:firstLine="288"/>
        <w:jc w:val="both"/>
      </w:pPr>
      <w:bookmarkStart w:name="Artículo_247" w:id="247"/>
      <w:bookmarkEnd w:id="247"/>
      <w:r>
        <w:rPr/>
      </w:r>
      <w:r>
        <w:rPr>
          <w:b/>
        </w:rPr>
        <w:t>Artículo 247. </w:t>
      </w:r>
      <w:r>
        <w:rPr/>
        <w:t>En los casos de los artículos 32 y 68 de esta Ley, al servidor público que de mala fe practique una notificación que sea declarada nula se le impondrá multa de treinta a trescientos días.</w:t>
      </w:r>
    </w:p>
    <w:p>
      <w:pPr>
        <w:pStyle w:val="BodyText"/>
        <w:spacing w:before="8"/>
        <w:rPr>
          <w:sz w:val="19"/>
        </w:rPr>
      </w:pPr>
    </w:p>
    <w:p>
      <w:pPr>
        <w:pStyle w:val="BodyText"/>
        <w:ind w:left="118" w:right="114" w:firstLine="288"/>
        <w:jc w:val="both"/>
      </w:pPr>
      <w:bookmarkStart w:name="Artículo_248" w:id="248"/>
      <w:bookmarkEnd w:id="248"/>
      <w:r>
        <w:rPr/>
      </w:r>
      <w:r>
        <w:rPr>
          <w:b/>
        </w:rPr>
        <w:t>Artículo 248. </w:t>
      </w:r>
      <w:r>
        <w:rPr/>
        <w:t>Se impondrá multa de cincuenta a quinientos días a quien para dar competencia a un juez de distrito o tribunal unitario de circuito,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BodyText"/>
        <w:spacing w:before="10"/>
        <w:rPr>
          <w:sz w:val="19"/>
        </w:rPr>
      </w:pPr>
    </w:p>
    <w:p>
      <w:pPr>
        <w:pStyle w:val="BodyText"/>
        <w:spacing w:line="242" w:lineRule="auto"/>
        <w:ind w:left="118" w:right="122" w:firstLine="288"/>
        <w:jc w:val="both"/>
      </w:pPr>
      <w:bookmarkStart w:name="Artículo_249" w:id="249"/>
      <w:bookmarkEnd w:id="249"/>
      <w:r>
        <w:rPr/>
      </w:r>
      <w:r>
        <w:rPr>
          <w:b/>
        </w:rPr>
        <w:t>Artículo 249. </w:t>
      </w:r>
      <w:r>
        <w:rPr/>
        <w:t>En los casos a que se refiere el artículo 49 de esta Ley, si el juez de distrito o tribunal unitario de circuito no encontraren motivo fundado para la promoción de dos o más juicios de amparo</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pPr>
      <w:r>
        <w:rPr/>
        <w:t>contra el mismo acto reclamado, impondrá al o los infractores multa de cincuenta a quinientos días, salvo que se trate de los casos mencionados en el artículo 15 de esta Ley.</w:t>
      </w:r>
    </w:p>
    <w:p>
      <w:pPr>
        <w:pStyle w:val="BodyText"/>
        <w:spacing w:before="11"/>
        <w:rPr>
          <w:sz w:val="19"/>
        </w:rPr>
      </w:pPr>
    </w:p>
    <w:p>
      <w:pPr>
        <w:pStyle w:val="BodyText"/>
        <w:ind w:left="118" w:right="116" w:firstLine="288"/>
        <w:jc w:val="both"/>
      </w:pPr>
      <w:bookmarkStart w:name="Artículo_250" w:id="250"/>
      <w:bookmarkEnd w:id="250"/>
      <w:r>
        <w:rPr/>
      </w:r>
      <w:r>
        <w:rPr>
          <w:b/>
        </w:rPr>
        <w:t>Artículo 250. </w:t>
      </w:r>
      <w:r>
        <w:rPr/>
        <w:t>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pPr>
        <w:pStyle w:val="BodyText"/>
        <w:spacing w:before="10"/>
        <w:rPr>
          <w:sz w:val="19"/>
        </w:rPr>
      </w:pPr>
    </w:p>
    <w:p>
      <w:pPr>
        <w:pStyle w:val="BodyText"/>
        <w:spacing w:line="242" w:lineRule="auto" w:before="1"/>
        <w:ind w:left="118" w:right="118" w:firstLine="288"/>
        <w:jc w:val="both"/>
      </w:pPr>
      <w:bookmarkStart w:name="Artículo_251" w:id="251"/>
      <w:bookmarkEnd w:id="251"/>
      <w:r>
        <w:rPr/>
      </w:r>
      <w:r>
        <w:rPr>
          <w:b/>
        </w:rPr>
        <w:t>Artículo 251. </w:t>
      </w:r>
      <w:r>
        <w:rPr/>
        <w:t>En el caso del artículo 64 de esta Ley, a la parte que tenga conocimiento de alguna causa de sobreseimiento y no la comunique, se le impondrá multa de treinta a trescientos días.</w:t>
      </w:r>
    </w:p>
    <w:p>
      <w:pPr>
        <w:pStyle w:val="BodyText"/>
        <w:spacing w:before="5"/>
        <w:rPr>
          <w:sz w:val="19"/>
        </w:rPr>
      </w:pPr>
    </w:p>
    <w:p>
      <w:pPr>
        <w:pStyle w:val="BodyText"/>
        <w:spacing w:line="242" w:lineRule="auto"/>
        <w:ind w:left="118" w:right="122" w:firstLine="288"/>
        <w:jc w:val="both"/>
      </w:pPr>
      <w:bookmarkStart w:name="Artículo_252" w:id="252"/>
      <w:bookmarkEnd w:id="252"/>
      <w:r>
        <w:rPr/>
      </w:r>
      <w:r>
        <w:rPr>
          <w:b/>
        </w:rPr>
        <w:t>Artículo 252. </w:t>
      </w:r>
      <w:r>
        <w:rPr/>
        <w:t>En el caso del párrafo tercero del artículo 68 de esta Ley, cuando se promueva una nulidad que sea declarada notoriamente improcedente se impondrá multa de treinta a trescientos días.</w:t>
      </w:r>
    </w:p>
    <w:p>
      <w:pPr>
        <w:pStyle w:val="BodyText"/>
        <w:spacing w:before="9"/>
        <w:rPr>
          <w:sz w:val="19"/>
        </w:rPr>
      </w:pPr>
    </w:p>
    <w:p>
      <w:pPr>
        <w:pStyle w:val="BodyText"/>
        <w:spacing w:line="242" w:lineRule="auto"/>
        <w:ind w:left="118" w:right="123" w:firstLine="288"/>
        <w:jc w:val="both"/>
      </w:pPr>
      <w:bookmarkStart w:name="Artículo_253" w:id="253"/>
      <w:bookmarkEnd w:id="253"/>
      <w:r>
        <w:rPr/>
      </w:r>
      <w:r>
        <w:rPr>
          <w:b/>
        </w:rPr>
        <w:t>Artículo 253. </w:t>
      </w:r>
      <w:r>
        <w:rPr/>
        <w:t>En el caso del párrafo segundo del artículo 72 de esta Ley, al responsable de la pérdida de constancias se le impondrá multa de cien a mil días.</w:t>
      </w:r>
    </w:p>
    <w:p>
      <w:pPr>
        <w:pStyle w:val="BodyText"/>
        <w:spacing w:before="6"/>
        <w:rPr>
          <w:sz w:val="19"/>
        </w:rPr>
      </w:pPr>
    </w:p>
    <w:p>
      <w:pPr>
        <w:pStyle w:val="BodyText"/>
        <w:spacing w:line="242" w:lineRule="auto"/>
        <w:ind w:left="118" w:right="119" w:firstLine="288"/>
        <w:jc w:val="both"/>
      </w:pPr>
      <w:bookmarkStart w:name="Artículo_254" w:id="254"/>
      <w:bookmarkEnd w:id="254"/>
      <w:r>
        <w:rPr/>
      </w:r>
      <w:r>
        <w:rPr>
          <w:b/>
        </w:rPr>
        <w:t>Artículo 254. </w:t>
      </w:r>
      <w:r>
        <w:rPr/>
        <w:t>En el caso del artículo 121 de esta Ley, si la autoridad no expide con oportunidad las copias o documentos solicitados por las partes o los expide incompletos o ilegibles, se le impondrá multa de cincuenta a quinientos días; si a pesar de la solicitud </w:t>
      </w:r>
      <w:r>
        <w:rPr>
          <w:spacing w:val="2"/>
        </w:rPr>
        <w:t>del </w:t>
      </w:r>
      <w:r>
        <w:rPr/>
        <w:t>órgano jurisdiccional de amparo no los remite, o los remite incompletos o ilegibles, se le impondrá multa de cien a mil</w:t>
      </w:r>
      <w:r>
        <w:rPr>
          <w:spacing w:val="-18"/>
        </w:rPr>
        <w:t> </w:t>
      </w:r>
      <w:r>
        <w:rPr/>
        <w:t>días.</w:t>
      </w:r>
    </w:p>
    <w:p>
      <w:pPr>
        <w:pStyle w:val="BodyText"/>
        <w:spacing w:before="2"/>
        <w:rPr>
          <w:sz w:val="19"/>
        </w:rPr>
      </w:pPr>
    </w:p>
    <w:p>
      <w:pPr>
        <w:pStyle w:val="BodyText"/>
        <w:spacing w:line="242" w:lineRule="auto"/>
        <w:ind w:left="118" w:right="126" w:firstLine="288"/>
        <w:jc w:val="both"/>
      </w:pPr>
      <w:bookmarkStart w:name="Artículo_255" w:id="255"/>
      <w:bookmarkEnd w:id="255"/>
      <w:r>
        <w:rPr/>
      </w:r>
      <w:r>
        <w:rPr>
          <w:b/>
        </w:rPr>
        <w:t>Artículo 255. </w:t>
      </w:r>
      <w:r>
        <w:rPr/>
        <w:t>En el caso del artículo 122 de esta Ley, si el juez de distrito desechare la impugnación presentada, impondrá al promovente que actuó con mala fe multa de treinta a trescientos días.</w:t>
      </w:r>
    </w:p>
    <w:p>
      <w:pPr>
        <w:pStyle w:val="BodyText"/>
        <w:spacing w:before="8"/>
        <w:rPr>
          <w:sz w:val="19"/>
        </w:rPr>
      </w:pPr>
    </w:p>
    <w:p>
      <w:pPr>
        <w:pStyle w:val="BodyText"/>
        <w:spacing w:line="242" w:lineRule="auto"/>
        <w:ind w:left="118" w:right="125" w:firstLine="288"/>
        <w:jc w:val="both"/>
      </w:pPr>
      <w:bookmarkStart w:name="Artículo_256" w:id="256"/>
      <w:bookmarkEnd w:id="256"/>
      <w:r>
        <w:rPr/>
      </w:r>
      <w:r>
        <w:rPr>
          <w:b/>
        </w:rPr>
        <w:t>Artículo 256. </w:t>
      </w:r>
      <w:r>
        <w:rPr/>
        <w:t>En el caso del artículo 145 de esta Ley, si se acredita que la segunda suspensión se solicitó indebidamente y con mala fe, se impondrá multa de cincuenta a quinientos días.</w:t>
      </w:r>
    </w:p>
    <w:p>
      <w:pPr>
        <w:pStyle w:val="BodyText"/>
        <w:spacing w:before="6"/>
        <w:rPr>
          <w:sz w:val="19"/>
        </w:rPr>
      </w:pPr>
    </w:p>
    <w:p>
      <w:pPr>
        <w:pStyle w:val="BodyText"/>
        <w:spacing w:line="242" w:lineRule="auto"/>
        <w:ind w:left="118" w:right="125" w:firstLine="288"/>
        <w:jc w:val="both"/>
      </w:pPr>
      <w:bookmarkStart w:name="Artículo_257" w:id="257"/>
      <w:bookmarkEnd w:id="257"/>
      <w:r>
        <w:rPr/>
      </w:r>
      <w:r>
        <w:rPr>
          <w:b/>
        </w:rPr>
        <w:t>Artículo 257. </w:t>
      </w:r>
      <w:r>
        <w:rPr/>
        <w:t>En el caso del artículo 191 de esta Ley, si la autoridad responsable no decide sobre la suspensión en las condiciones señaladas, se impondrá multa de cien a mil días.</w:t>
      </w:r>
    </w:p>
    <w:p>
      <w:pPr>
        <w:pStyle w:val="BodyText"/>
        <w:spacing w:before="8"/>
        <w:rPr>
          <w:sz w:val="19"/>
        </w:rPr>
      </w:pPr>
    </w:p>
    <w:p>
      <w:pPr>
        <w:pStyle w:val="BodyText"/>
        <w:ind w:left="406"/>
      </w:pPr>
      <w:bookmarkStart w:name="Artículo_258" w:id="258"/>
      <w:bookmarkEnd w:id="258"/>
      <w:r>
        <w:rPr/>
      </w:r>
      <w:r>
        <w:rPr>
          <w:b/>
        </w:rPr>
        <w:t>Artículo 258. </w:t>
      </w:r>
      <w:r>
        <w:rPr/>
        <w:t>La multa a que se refieren los artículos 192 y 193 de esta Ley será de cien a mil días.</w:t>
      </w:r>
    </w:p>
    <w:p>
      <w:pPr>
        <w:pStyle w:val="BodyText"/>
        <w:spacing w:before="10"/>
        <w:rPr>
          <w:sz w:val="19"/>
        </w:rPr>
      </w:pPr>
    </w:p>
    <w:p>
      <w:pPr>
        <w:pStyle w:val="BodyText"/>
        <w:spacing w:line="242" w:lineRule="auto"/>
        <w:ind w:left="118" w:right="122" w:firstLine="288"/>
        <w:jc w:val="both"/>
      </w:pPr>
      <w:bookmarkStart w:name="Artículo_259" w:id="259"/>
      <w:bookmarkEnd w:id="259"/>
      <w:r>
        <w:rPr/>
      </w:r>
      <w:r>
        <w:rPr>
          <w:b/>
        </w:rPr>
        <w:t>Artículo 259. </w:t>
      </w:r>
      <w:r>
        <w:rPr/>
        <w:t>En el caso de la fracción I de los artículos 236 y 237 de esta Ley, las multas serán de cincuenta a mil días.</w:t>
      </w:r>
    </w:p>
    <w:p>
      <w:pPr>
        <w:pStyle w:val="BodyText"/>
        <w:spacing w:before="8"/>
        <w:rPr>
          <w:sz w:val="19"/>
        </w:rPr>
      </w:pPr>
    </w:p>
    <w:p>
      <w:pPr>
        <w:pStyle w:val="BodyText"/>
        <w:ind w:left="406"/>
      </w:pPr>
      <w:bookmarkStart w:name="Artículo_260" w:id="260"/>
      <w:bookmarkEnd w:id="260"/>
      <w:r>
        <w:rPr/>
      </w:r>
      <w:r>
        <w:rPr>
          <w:b/>
        </w:rPr>
        <w:t>Artículo 260. </w:t>
      </w:r>
      <w:r>
        <w:rPr/>
        <w:t>Se sancionará con multa de cien a mil días a la autoridad responsable que:</w:t>
      </w:r>
    </w:p>
    <w:p>
      <w:pPr>
        <w:pStyle w:val="BodyText"/>
        <w:spacing w:before="1"/>
      </w:pPr>
    </w:p>
    <w:p>
      <w:pPr>
        <w:pStyle w:val="ListParagraph"/>
        <w:numPr>
          <w:ilvl w:val="0"/>
          <w:numId w:val="53"/>
        </w:numPr>
        <w:tabs>
          <w:tab w:pos="1005" w:val="left" w:leader="none"/>
        </w:tabs>
        <w:spacing w:line="240" w:lineRule="auto" w:before="0" w:after="0"/>
        <w:ind w:left="1004" w:right="0" w:hanging="167"/>
        <w:jc w:val="both"/>
        <w:rPr>
          <w:sz w:val="20"/>
        </w:rPr>
      </w:pPr>
      <w:r>
        <w:rPr>
          <w:sz w:val="20"/>
        </w:rPr>
        <w:t>No rinda el informe</w:t>
      </w:r>
      <w:r>
        <w:rPr>
          <w:spacing w:val="-2"/>
          <w:sz w:val="20"/>
        </w:rPr>
        <w:t> </w:t>
      </w:r>
      <w:r>
        <w:rPr>
          <w:sz w:val="20"/>
        </w:rPr>
        <w:t>previo;</w:t>
      </w:r>
    </w:p>
    <w:p>
      <w:pPr>
        <w:pStyle w:val="BodyText"/>
        <w:spacing w:before="10"/>
        <w:rPr>
          <w:sz w:val="19"/>
        </w:rPr>
      </w:pPr>
    </w:p>
    <w:p>
      <w:pPr>
        <w:pStyle w:val="ListParagraph"/>
        <w:numPr>
          <w:ilvl w:val="0"/>
          <w:numId w:val="53"/>
        </w:numPr>
        <w:tabs>
          <w:tab w:pos="1060" w:val="left" w:leader="none"/>
        </w:tabs>
        <w:spacing w:line="242" w:lineRule="auto" w:before="0" w:after="0"/>
        <w:ind w:left="838" w:right="121" w:firstLine="0"/>
        <w:jc w:val="both"/>
        <w:rPr>
          <w:sz w:val="20"/>
        </w:rPr>
      </w:pPr>
      <w:r>
        <w:rPr>
          <w:sz w:val="20"/>
        </w:rPr>
        <w:t>No rinda el informe con justificación o lo haga sin remitir, en su caso, copia certificada</w:t>
      </w:r>
      <w:r>
        <w:rPr>
          <w:spacing w:val="-30"/>
          <w:sz w:val="20"/>
        </w:rPr>
        <w:t> </w:t>
      </w:r>
      <w:r>
        <w:rPr>
          <w:sz w:val="20"/>
        </w:rPr>
        <w:t>completa y legible de las constancias necesarias para la solución del juicio constitucional u omita referirse</w:t>
      </w:r>
      <w:r>
        <w:rPr>
          <w:spacing w:val="-29"/>
          <w:sz w:val="20"/>
        </w:rPr>
        <w:t> </w:t>
      </w:r>
      <w:r>
        <w:rPr>
          <w:sz w:val="20"/>
        </w:rPr>
        <w:t>a la representación que aduzca el promovente de la demanda en términos del artículo 11 de esta Ley;</w:t>
      </w:r>
    </w:p>
    <w:p>
      <w:pPr>
        <w:pStyle w:val="BodyText"/>
        <w:spacing w:before="3"/>
        <w:rPr>
          <w:sz w:val="19"/>
        </w:rPr>
      </w:pPr>
    </w:p>
    <w:p>
      <w:pPr>
        <w:pStyle w:val="ListParagraph"/>
        <w:numPr>
          <w:ilvl w:val="0"/>
          <w:numId w:val="53"/>
        </w:numPr>
        <w:tabs>
          <w:tab w:pos="1127" w:val="left" w:leader="none"/>
        </w:tabs>
        <w:spacing w:line="242" w:lineRule="auto" w:before="0" w:after="0"/>
        <w:ind w:left="838" w:right="109" w:firstLine="0"/>
        <w:jc w:val="both"/>
        <w:rPr>
          <w:sz w:val="20"/>
        </w:rPr>
      </w:pPr>
      <w:r>
        <w:rPr>
          <w:sz w:val="20"/>
        </w:rPr>
        <w:t>No informe o no remita, en su caso, la certificación relativa a la fecha de notificación del acto reclamado, la de presentación de la demanda y de los días inhábiles que mediaron entre uno y otro acto;</w:t>
      </w:r>
      <w:r>
        <w:rPr>
          <w:spacing w:val="1"/>
          <w:sz w:val="20"/>
        </w:rPr>
        <w:t> </w:t>
      </w:r>
      <w:r>
        <w:rPr>
          <w:sz w:val="20"/>
        </w:rPr>
        <w:t>y</w:t>
      </w:r>
    </w:p>
    <w:p>
      <w:pPr>
        <w:pStyle w:val="BodyText"/>
        <w:spacing w:before="6"/>
        <w:rPr>
          <w:sz w:val="19"/>
        </w:rPr>
      </w:pPr>
    </w:p>
    <w:p>
      <w:pPr>
        <w:pStyle w:val="ListParagraph"/>
        <w:numPr>
          <w:ilvl w:val="0"/>
          <w:numId w:val="53"/>
        </w:numPr>
        <w:tabs>
          <w:tab w:pos="1170" w:val="left" w:leader="none"/>
        </w:tabs>
        <w:spacing w:line="240" w:lineRule="auto" w:before="0" w:after="0"/>
        <w:ind w:left="838" w:right="123" w:firstLine="0"/>
        <w:jc w:val="both"/>
        <w:rPr>
          <w:sz w:val="20"/>
        </w:rPr>
      </w:pPr>
      <w:r>
        <w:rPr>
          <w:sz w:val="20"/>
        </w:rPr>
        <w:t>No trámite la demanda de amparo o no remita con la oportunidad debida y en los plazos previstos por esta Ley las constancias que le sean solicitadas por amparo o por las partes en el juicio</w:t>
      </w:r>
      <w:r>
        <w:rPr>
          <w:spacing w:val="-2"/>
          <w:sz w:val="20"/>
        </w:rPr>
        <w:t> </w:t>
      </w:r>
      <w:r>
        <w:rPr>
          <w:sz w:val="20"/>
        </w:rPr>
        <w:t>constitucional.</w:t>
      </w:r>
    </w:p>
    <w:p>
      <w:pPr>
        <w:spacing w:after="0" w:line="240" w:lineRule="auto"/>
        <w:jc w:val="both"/>
        <w:rPr>
          <w:sz w:val="20"/>
        </w:rPr>
        <w:sectPr>
          <w:pgSz w:w="12240" w:h="15840"/>
          <w:pgMar w:header="708" w:footer="712" w:top="1760" w:bottom="900" w:left="1300" w:right="1300"/>
        </w:sectPr>
      </w:pPr>
    </w:p>
    <w:p>
      <w:pPr>
        <w:pStyle w:val="BodyText"/>
        <w:spacing w:before="8"/>
        <w:rPr>
          <w:sz w:val="27"/>
        </w:rPr>
      </w:pPr>
    </w:p>
    <w:p>
      <w:pPr>
        <w:pStyle w:val="BodyText"/>
        <w:spacing w:before="92"/>
        <w:ind w:left="118" w:right="114" w:firstLine="288"/>
        <w:jc w:val="both"/>
      </w:pPr>
      <w:r>
        <w:rPr/>
        <w:t>Tratándose de amparo contra normas generales, las autoridades que hayan intervenido en el refrendo del decreto promulgatorio de la norma o en su publicación, únicamente rendirán el informe justificado cuando adviertan que su intervención en el proceso legislativo o de creación de la norma general, se impugne por vicios propios.</w:t>
      </w:r>
    </w:p>
    <w:p>
      <w:pPr>
        <w:pStyle w:val="BodyText"/>
      </w:pPr>
    </w:p>
    <w:p>
      <w:pPr>
        <w:pStyle w:val="BodyText"/>
        <w:ind w:left="118" w:right="116" w:firstLine="288"/>
        <w:jc w:val="both"/>
      </w:pPr>
      <w:r>
        <w:rP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pPr>
        <w:pStyle w:val="BodyText"/>
        <w:spacing w:before="9"/>
        <w:rPr>
          <w:sz w:val="19"/>
        </w:rPr>
      </w:pPr>
    </w:p>
    <w:p>
      <w:pPr>
        <w:pStyle w:val="Heading1"/>
        <w:ind w:left="607"/>
      </w:pPr>
      <w:r>
        <w:rPr/>
        <w:t>CAPÍTULO III</w:t>
      </w:r>
    </w:p>
    <w:p>
      <w:pPr>
        <w:spacing w:before="1"/>
        <w:ind w:left="607" w:right="603" w:firstLine="0"/>
        <w:jc w:val="center"/>
        <w:rPr>
          <w:b/>
          <w:sz w:val="22"/>
        </w:rPr>
      </w:pPr>
      <w:r>
        <w:rPr>
          <w:b/>
          <w:sz w:val="22"/>
        </w:rPr>
        <w:t>Delitos</w:t>
      </w:r>
    </w:p>
    <w:p>
      <w:pPr>
        <w:pStyle w:val="BodyText"/>
        <w:spacing w:before="11"/>
        <w:rPr>
          <w:b/>
          <w:sz w:val="19"/>
        </w:rPr>
      </w:pPr>
    </w:p>
    <w:p>
      <w:pPr>
        <w:pStyle w:val="BodyText"/>
        <w:spacing w:line="242" w:lineRule="auto"/>
        <w:ind w:left="118" w:right="126" w:firstLine="288"/>
        <w:jc w:val="both"/>
      </w:pPr>
      <w:bookmarkStart w:name="Artículo_261" w:id="261"/>
      <w:bookmarkEnd w:id="261"/>
      <w:r>
        <w:rPr/>
      </w:r>
      <w:r>
        <w:rPr>
          <w:b/>
        </w:rPr>
        <w:t>Artículo 261. </w:t>
      </w:r>
      <w:r>
        <w:rPr/>
        <w:t>Se impondrá una pena de dos a seis años de prisión y multa de treinta a trescientos días:</w:t>
      </w:r>
    </w:p>
    <w:p>
      <w:pPr>
        <w:pStyle w:val="BodyText"/>
        <w:spacing w:before="8"/>
        <w:rPr>
          <w:sz w:val="19"/>
        </w:rPr>
      </w:pPr>
    </w:p>
    <w:p>
      <w:pPr>
        <w:pStyle w:val="ListParagraph"/>
        <w:numPr>
          <w:ilvl w:val="0"/>
          <w:numId w:val="54"/>
        </w:numPr>
        <w:tabs>
          <w:tab w:pos="1031" w:val="left" w:leader="none"/>
        </w:tabs>
        <w:spacing w:line="240" w:lineRule="auto" w:before="1" w:after="0"/>
        <w:ind w:left="838" w:right="117" w:firstLine="0"/>
        <w:jc w:val="both"/>
        <w:rPr>
          <w:sz w:val="20"/>
        </w:rPr>
      </w:pPr>
      <w:r>
        <w:rPr>
          <w:sz w:val="20"/>
        </w:rPr>
        <w:t>Al quejoso, a su abogado autorizado o a ambos, si con el propósito de obtener una ventaja procesal indebida, en la demanda afirme hechos falsos u omita los que le consten en relación</w:t>
      </w:r>
      <w:r>
        <w:rPr>
          <w:spacing w:val="-29"/>
          <w:sz w:val="20"/>
        </w:rPr>
        <w:t> </w:t>
      </w:r>
      <w:r>
        <w:rPr>
          <w:sz w:val="20"/>
        </w:rPr>
        <w:t>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r>
        <w:rPr>
          <w:spacing w:val="-7"/>
          <w:sz w:val="20"/>
        </w:rPr>
        <w:t> </w:t>
      </w:r>
      <w:r>
        <w:rPr>
          <w:sz w:val="20"/>
        </w:rPr>
        <w:t>y</w:t>
      </w:r>
    </w:p>
    <w:p>
      <w:pPr>
        <w:pStyle w:val="BodyText"/>
        <w:spacing w:before="9"/>
        <w:rPr>
          <w:sz w:val="19"/>
        </w:rPr>
      </w:pPr>
    </w:p>
    <w:p>
      <w:pPr>
        <w:pStyle w:val="ListParagraph"/>
        <w:numPr>
          <w:ilvl w:val="0"/>
          <w:numId w:val="54"/>
        </w:numPr>
        <w:tabs>
          <w:tab w:pos="1070" w:val="left" w:leader="none"/>
        </w:tabs>
        <w:spacing w:line="242" w:lineRule="auto" w:before="1" w:after="0"/>
        <w:ind w:left="838" w:right="123" w:firstLine="0"/>
        <w:jc w:val="left"/>
        <w:rPr>
          <w:sz w:val="20"/>
        </w:rPr>
      </w:pPr>
      <w:r>
        <w:rPr>
          <w:sz w:val="20"/>
        </w:rPr>
        <w:t>Al quejoso o tercero interesado, a su abogado o a ambos, si en el juicio de amparo presenten testigos o documentos</w:t>
      </w:r>
      <w:r>
        <w:rPr>
          <w:spacing w:val="-2"/>
          <w:sz w:val="20"/>
        </w:rPr>
        <w:t> </w:t>
      </w:r>
      <w:r>
        <w:rPr>
          <w:sz w:val="20"/>
        </w:rPr>
        <w:t>falsos.</w:t>
      </w:r>
    </w:p>
    <w:p>
      <w:pPr>
        <w:pStyle w:val="BodyText"/>
        <w:spacing w:before="8"/>
        <w:rPr>
          <w:sz w:val="19"/>
        </w:rPr>
      </w:pPr>
    </w:p>
    <w:p>
      <w:pPr>
        <w:pStyle w:val="BodyText"/>
        <w:ind w:left="118" w:right="113" w:firstLine="288"/>
        <w:jc w:val="both"/>
      </w:pPr>
      <w:bookmarkStart w:name="Artículo_262" w:id="262"/>
      <w:bookmarkEnd w:id="262"/>
      <w:r>
        <w:rPr/>
      </w:r>
      <w:r>
        <w:rPr>
          <w:b/>
        </w:rPr>
        <w:t>Artículo 262. </w:t>
      </w:r>
      <w:r>
        <w:rPr/>
        <w:t>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w:t>
      </w:r>
      <w:r>
        <w:rPr>
          <w:spacing w:val="2"/>
        </w:rPr>
        <w:t>amparo </w:t>
      </w:r>
      <w:r>
        <w:rPr/>
        <w:t>o en el incidente de</w:t>
      </w:r>
      <w:r>
        <w:rPr>
          <w:spacing w:val="-1"/>
        </w:rPr>
        <w:t> </w:t>
      </w:r>
      <w:r>
        <w:rPr/>
        <w:t>suspensión:</w:t>
      </w:r>
    </w:p>
    <w:p>
      <w:pPr>
        <w:pStyle w:val="BodyText"/>
      </w:pPr>
    </w:p>
    <w:p>
      <w:pPr>
        <w:pStyle w:val="ListParagraph"/>
        <w:numPr>
          <w:ilvl w:val="0"/>
          <w:numId w:val="55"/>
        </w:numPr>
        <w:tabs>
          <w:tab w:pos="1005" w:val="left" w:leader="none"/>
        </w:tabs>
        <w:spacing w:line="240" w:lineRule="auto" w:before="0" w:after="0"/>
        <w:ind w:left="1004" w:right="0" w:hanging="167"/>
        <w:jc w:val="both"/>
        <w:rPr>
          <w:sz w:val="20"/>
        </w:rPr>
      </w:pPr>
      <w:r>
        <w:rPr>
          <w:sz w:val="20"/>
        </w:rPr>
        <w:t>Al rendir informe previo o con justificación exprese un hecho falso o niegue la</w:t>
      </w:r>
      <w:r>
        <w:rPr>
          <w:spacing w:val="-14"/>
          <w:sz w:val="20"/>
        </w:rPr>
        <w:t> </w:t>
      </w:r>
      <w:r>
        <w:rPr>
          <w:sz w:val="20"/>
        </w:rPr>
        <w:t>verdad;</w:t>
      </w:r>
    </w:p>
    <w:p>
      <w:pPr>
        <w:pStyle w:val="BodyText"/>
        <w:spacing w:before="10"/>
        <w:rPr>
          <w:sz w:val="19"/>
        </w:rPr>
      </w:pPr>
    </w:p>
    <w:p>
      <w:pPr>
        <w:pStyle w:val="ListParagraph"/>
        <w:numPr>
          <w:ilvl w:val="0"/>
          <w:numId w:val="55"/>
        </w:numPr>
        <w:tabs>
          <w:tab w:pos="1074" w:val="left" w:leader="none"/>
        </w:tabs>
        <w:spacing w:line="242" w:lineRule="auto" w:before="0" w:after="0"/>
        <w:ind w:left="838" w:right="124" w:firstLine="0"/>
        <w:jc w:val="left"/>
        <w:rPr>
          <w:sz w:val="20"/>
        </w:rPr>
      </w:pPr>
      <w:r>
        <w:rPr>
          <w:sz w:val="20"/>
        </w:rPr>
        <w:t>Sin motivo justificado revoque o deje sin efecto el acto que se le reclama con el propósito de que se sobresea en el amparo, sólo para insistir con posterioridad en la emisión del</w:t>
      </w:r>
      <w:r>
        <w:rPr>
          <w:spacing w:val="-14"/>
          <w:sz w:val="20"/>
        </w:rPr>
        <w:t> </w:t>
      </w:r>
      <w:r>
        <w:rPr>
          <w:sz w:val="20"/>
        </w:rPr>
        <w:t>mismo;</w:t>
      </w:r>
    </w:p>
    <w:p>
      <w:pPr>
        <w:pStyle w:val="BodyText"/>
        <w:spacing w:before="8"/>
        <w:rPr>
          <w:sz w:val="19"/>
        </w:rPr>
      </w:pPr>
    </w:p>
    <w:p>
      <w:pPr>
        <w:pStyle w:val="ListParagraph"/>
        <w:numPr>
          <w:ilvl w:val="0"/>
          <w:numId w:val="55"/>
        </w:numPr>
        <w:tabs>
          <w:tab w:pos="1199" w:val="left" w:leader="none"/>
        </w:tabs>
        <w:spacing w:line="242" w:lineRule="auto" w:before="0" w:after="0"/>
        <w:ind w:left="838" w:right="111" w:firstLine="0"/>
        <w:jc w:val="left"/>
        <w:rPr>
          <w:sz w:val="20"/>
        </w:rPr>
      </w:pPr>
      <w:r>
        <w:rPr>
          <w:sz w:val="20"/>
        </w:rPr>
        <w:t>No obedezca un auto de suspensión debidamente notificado, independientemente de cualquier otro delito en que</w:t>
      </w:r>
      <w:r>
        <w:rPr>
          <w:spacing w:val="3"/>
          <w:sz w:val="20"/>
        </w:rPr>
        <w:t> </w:t>
      </w:r>
      <w:r>
        <w:rPr>
          <w:sz w:val="20"/>
        </w:rPr>
        <w:t>incurra;</w:t>
      </w:r>
    </w:p>
    <w:p>
      <w:pPr>
        <w:pStyle w:val="BodyText"/>
        <w:spacing w:before="6"/>
        <w:rPr>
          <w:sz w:val="19"/>
        </w:rPr>
      </w:pPr>
    </w:p>
    <w:p>
      <w:pPr>
        <w:pStyle w:val="ListParagraph"/>
        <w:numPr>
          <w:ilvl w:val="0"/>
          <w:numId w:val="55"/>
        </w:numPr>
        <w:tabs>
          <w:tab w:pos="1158" w:val="left" w:leader="none"/>
        </w:tabs>
        <w:spacing w:line="242" w:lineRule="auto" w:before="0" w:after="0"/>
        <w:ind w:left="838" w:right="119" w:firstLine="0"/>
        <w:jc w:val="left"/>
        <w:rPr>
          <w:sz w:val="20"/>
        </w:rPr>
      </w:pPr>
      <w:r>
        <w:rPr>
          <w:sz w:val="20"/>
        </w:rPr>
        <w:t>En los casos de suspensión admita, por notoria mala fe o negligencia inexcusable, fianza o contrafianza que resulte ilusoria o insuficiente; y</w:t>
      </w:r>
    </w:p>
    <w:p>
      <w:pPr>
        <w:pStyle w:val="BodyText"/>
        <w:spacing w:before="8"/>
        <w:rPr>
          <w:sz w:val="19"/>
        </w:rPr>
      </w:pPr>
    </w:p>
    <w:p>
      <w:pPr>
        <w:pStyle w:val="ListParagraph"/>
        <w:numPr>
          <w:ilvl w:val="0"/>
          <w:numId w:val="55"/>
        </w:numPr>
        <w:tabs>
          <w:tab w:pos="1089" w:val="left" w:leader="none"/>
        </w:tabs>
        <w:spacing w:line="242" w:lineRule="auto" w:before="0" w:after="0"/>
        <w:ind w:left="838" w:right="128" w:firstLine="0"/>
        <w:jc w:val="left"/>
        <w:rPr>
          <w:sz w:val="20"/>
        </w:rPr>
      </w:pPr>
      <w:r>
        <w:rPr>
          <w:sz w:val="20"/>
        </w:rPr>
        <w:t>Fuera de los casos señalados en las fracciones anteriores, se resista de cualquier modo a dar cumplimiento a los mandatos u órdenes dictadas en materia de</w:t>
      </w:r>
      <w:r>
        <w:rPr>
          <w:spacing w:val="-5"/>
          <w:sz w:val="20"/>
        </w:rPr>
        <w:t> </w:t>
      </w:r>
      <w:r>
        <w:rPr>
          <w:sz w:val="20"/>
        </w:rPr>
        <w:t>amparo.</w:t>
      </w:r>
    </w:p>
    <w:p>
      <w:pPr>
        <w:pStyle w:val="BodyText"/>
        <w:spacing w:before="6"/>
        <w:rPr>
          <w:sz w:val="19"/>
        </w:rPr>
      </w:pPr>
    </w:p>
    <w:p>
      <w:pPr>
        <w:pStyle w:val="BodyText"/>
        <w:ind w:left="118" w:right="114" w:firstLine="288"/>
        <w:jc w:val="both"/>
      </w:pPr>
      <w:bookmarkStart w:name="Artículo_263" w:id="263"/>
      <w:bookmarkEnd w:id="263"/>
      <w:r>
        <w:rPr/>
      </w:r>
      <w:r>
        <w:rPr>
          <w:b/>
        </w:rPr>
        <w:t>Artículo 263. </w:t>
      </w:r>
      <w:r>
        <w:rPr/>
        <w:t>Los jueces de distrito, las autoridades judiciales de los Estados y del Distrito Federal cuando actúen en auxilio de la justicia federal, los presidentes de las juntas y de los tribunales de conciliación y arbitraje, los magistrados de circuito y </w:t>
      </w:r>
      <w:r>
        <w:rPr>
          <w:spacing w:val="2"/>
        </w:rPr>
        <w:t>los </w:t>
      </w:r>
      <w:r>
        <w:rPr/>
        <w:t>ministros de la Suprema Corte de Justicia de la Nación son responsables en los juicios de amparo por los delitos y faltas que cometan en los términos que los definen y castigan el Código Penal Federal y la Ley Orgánica del Poder Judicial de la Federación, así como este</w:t>
      </w:r>
      <w:r>
        <w:rPr>
          <w:spacing w:val="-4"/>
        </w:rPr>
        <w:t> </w:t>
      </w:r>
      <w:r>
        <w:rPr/>
        <w:t>Capítulo.</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5" w:firstLine="288"/>
        <w:jc w:val="both"/>
      </w:pPr>
      <w:bookmarkStart w:name="Artículo_264" w:id="264"/>
      <w:bookmarkEnd w:id="264"/>
      <w:r>
        <w:rPr/>
      </w:r>
      <w:r>
        <w:rPr>
          <w:b/>
        </w:rPr>
        <w:t>Artículo 264. </w:t>
      </w:r>
      <w:r>
        <w:rPr/>
        <w:t>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pPr>
        <w:pStyle w:val="BodyText"/>
        <w:spacing w:before="4"/>
        <w:rPr>
          <w:sz w:val="19"/>
        </w:rPr>
      </w:pPr>
    </w:p>
    <w:p>
      <w:pPr>
        <w:pStyle w:val="BodyText"/>
        <w:spacing w:line="242" w:lineRule="auto"/>
        <w:ind w:left="118" w:right="124" w:firstLine="288"/>
        <w:jc w:val="both"/>
      </w:pPr>
      <w:bookmarkStart w:name="Artículo_265" w:id="265"/>
      <w:bookmarkEnd w:id="265"/>
      <w:r>
        <w:rPr/>
      </w:r>
      <w:r>
        <w:rPr>
          <w:b/>
        </w:rPr>
        <w:t>Artículo 265. </w:t>
      </w:r>
      <w:r>
        <w:rPr/>
        <w:t>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pPr>
        <w:pStyle w:val="BodyText"/>
        <w:spacing w:before="2"/>
        <w:rPr>
          <w:sz w:val="19"/>
        </w:rPr>
      </w:pPr>
    </w:p>
    <w:p>
      <w:pPr>
        <w:pStyle w:val="ListParagraph"/>
        <w:numPr>
          <w:ilvl w:val="0"/>
          <w:numId w:val="56"/>
        </w:numPr>
        <w:tabs>
          <w:tab w:pos="1031" w:val="left" w:leader="none"/>
        </w:tabs>
        <w:spacing w:line="240" w:lineRule="auto" w:before="0" w:after="0"/>
        <w:ind w:left="838" w:right="119" w:firstLine="0"/>
        <w:jc w:val="both"/>
        <w:rPr>
          <w:sz w:val="20"/>
        </w:rPr>
      </w:pPr>
      <w:r>
        <w:rPr>
          <w:sz w:val="20"/>
        </w:rPr>
        <w:t>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w:t>
      </w:r>
      <w:r>
        <w:rPr>
          <w:spacing w:val="-11"/>
          <w:sz w:val="20"/>
        </w:rPr>
        <w:t> </w:t>
      </w:r>
      <w:r>
        <w:rPr>
          <w:sz w:val="20"/>
        </w:rPr>
        <w:t>y</w:t>
      </w:r>
    </w:p>
    <w:p>
      <w:pPr>
        <w:pStyle w:val="BodyText"/>
        <w:spacing w:before="1"/>
      </w:pPr>
    </w:p>
    <w:p>
      <w:pPr>
        <w:pStyle w:val="ListParagraph"/>
        <w:numPr>
          <w:ilvl w:val="0"/>
          <w:numId w:val="56"/>
        </w:numPr>
        <w:tabs>
          <w:tab w:pos="1060" w:val="left" w:leader="none"/>
        </w:tabs>
        <w:spacing w:line="240" w:lineRule="auto" w:before="0" w:after="0"/>
        <w:ind w:left="1059" w:right="0" w:hanging="222"/>
        <w:jc w:val="left"/>
        <w:rPr>
          <w:sz w:val="20"/>
        </w:rPr>
      </w:pPr>
      <w:r>
        <w:rPr>
          <w:sz w:val="20"/>
        </w:rPr>
        <w:t>No concediere la suspensión, siendo notoria su</w:t>
      </w:r>
      <w:r>
        <w:rPr>
          <w:spacing w:val="-6"/>
          <w:sz w:val="20"/>
        </w:rPr>
        <w:t> </w:t>
      </w:r>
      <w:r>
        <w:rPr>
          <w:sz w:val="20"/>
        </w:rPr>
        <w:t>procedencia.</w:t>
      </w:r>
    </w:p>
    <w:p>
      <w:pPr>
        <w:pStyle w:val="BodyText"/>
        <w:spacing w:before="1"/>
      </w:pPr>
    </w:p>
    <w:p>
      <w:pPr>
        <w:pStyle w:val="BodyText"/>
        <w:ind w:left="118" w:right="118" w:firstLine="288"/>
        <w:jc w:val="both"/>
      </w:pPr>
      <w:bookmarkStart w:name="Artículo_266" w:id="266"/>
      <w:bookmarkEnd w:id="266"/>
      <w:r>
        <w:rPr/>
      </w:r>
      <w:r>
        <w:rPr>
          <w:b/>
        </w:rPr>
        <w:t>Artículo 266. </w:t>
      </w:r>
      <w:r>
        <w:rPr/>
        <w:t>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pPr>
        <w:pStyle w:val="BodyText"/>
        <w:spacing w:before="11"/>
        <w:rPr>
          <w:sz w:val="19"/>
        </w:rPr>
      </w:pPr>
    </w:p>
    <w:p>
      <w:pPr>
        <w:pStyle w:val="ListParagraph"/>
        <w:numPr>
          <w:ilvl w:val="0"/>
          <w:numId w:val="57"/>
        </w:numPr>
        <w:tabs>
          <w:tab w:pos="1031" w:val="left" w:leader="none"/>
        </w:tabs>
        <w:spacing w:line="240" w:lineRule="auto" w:before="0" w:after="0"/>
        <w:ind w:left="838" w:right="117" w:firstLine="0"/>
        <w:jc w:val="both"/>
        <w:rPr>
          <w:sz w:val="20"/>
        </w:rPr>
      </w:pPr>
      <w:r>
        <w:rPr>
          <w:sz w:val="20"/>
        </w:rPr>
        <w:t>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w:t>
      </w:r>
      <w:r>
        <w:rPr>
          <w:spacing w:val="3"/>
          <w:sz w:val="20"/>
        </w:rPr>
        <w:t> </w:t>
      </w:r>
      <w:r>
        <w:rPr>
          <w:sz w:val="20"/>
        </w:rPr>
        <w:t>y</w:t>
      </w:r>
    </w:p>
    <w:p>
      <w:pPr>
        <w:pStyle w:val="BodyText"/>
        <w:spacing w:before="1"/>
      </w:pPr>
    </w:p>
    <w:p>
      <w:pPr>
        <w:pStyle w:val="ListParagraph"/>
        <w:numPr>
          <w:ilvl w:val="0"/>
          <w:numId w:val="57"/>
        </w:numPr>
        <w:tabs>
          <w:tab w:pos="1079" w:val="left" w:leader="none"/>
        </w:tabs>
        <w:spacing w:line="242" w:lineRule="auto" w:before="0" w:after="0"/>
        <w:ind w:left="838" w:right="125" w:firstLine="0"/>
        <w:jc w:val="both"/>
        <w:rPr>
          <w:sz w:val="20"/>
        </w:rPr>
      </w:pPr>
      <w:r>
        <w:rPr>
          <w:sz w:val="20"/>
        </w:rPr>
        <w:t>Ponga en libertad al quejoso en contra de lo previsto en las disposiciones aplicables de esta Ley.</w:t>
      </w:r>
    </w:p>
    <w:p>
      <w:pPr>
        <w:pStyle w:val="BodyText"/>
        <w:spacing w:before="6"/>
        <w:rPr>
          <w:sz w:val="19"/>
        </w:rPr>
      </w:pPr>
    </w:p>
    <w:p>
      <w:pPr>
        <w:pStyle w:val="BodyText"/>
        <w:spacing w:line="242" w:lineRule="auto"/>
        <w:ind w:left="118" w:right="125" w:firstLine="288"/>
        <w:jc w:val="both"/>
      </w:pPr>
      <w:bookmarkStart w:name="Artículo_267" w:id="267"/>
      <w:bookmarkEnd w:id="267"/>
      <w:r>
        <w:rPr/>
      </w:r>
      <w:r>
        <w:rPr>
          <w:b/>
        </w:rPr>
        <w:t>Artículo 267. </w:t>
      </w:r>
      <w:r>
        <w:rPr/>
        <w:t>Se impondrá pena de cinco a diez años de prisión, multa de cien a mil días, en su caso destitución e inhabilitación de cinco a diez años para desempeñar otro cargo, empleo o comisión públicos a la autoridad que dolosamente:</w:t>
      </w:r>
    </w:p>
    <w:p>
      <w:pPr>
        <w:pStyle w:val="BodyText"/>
        <w:spacing w:before="6"/>
        <w:rPr>
          <w:sz w:val="19"/>
        </w:rPr>
      </w:pPr>
    </w:p>
    <w:p>
      <w:pPr>
        <w:pStyle w:val="ListParagraph"/>
        <w:numPr>
          <w:ilvl w:val="0"/>
          <w:numId w:val="58"/>
        </w:numPr>
        <w:tabs>
          <w:tab w:pos="1005" w:val="left" w:leader="none"/>
        </w:tabs>
        <w:spacing w:line="240" w:lineRule="auto" w:before="0" w:after="0"/>
        <w:ind w:left="1004" w:right="0" w:hanging="167"/>
        <w:jc w:val="left"/>
        <w:rPr>
          <w:sz w:val="20"/>
        </w:rPr>
      </w:pPr>
      <w:r>
        <w:rPr>
          <w:sz w:val="20"/>
        </w:rPr>
        <w:t>Incumpla una sentencia de amparo o no la haga</w:t>
      </w:r>
      <w:r>
        <w:rPr>
          <w:spacing w:val="-7"/>
          <w:sz w:val="20"/>
        </w:rPr>
        <w:t> </w:t>
      </w:r>
      <w:r>
        <w:rPr>
          <w:sz w:val="20"/>
        </w:rPr>
        <w:t>cumplir;</w:t>
      </w:r>
    </w:p>
    <w:p>
      <w:pPr>
        <w:pStyle w:val="BodyText"/>
        <w:spacing w:before="10"/>
        <w:rPr>
          <w:sz w:val="19"/>
        </w:rPr>
      </w:pPr>
    </w:p>
    <w:p>
      <w:pPr>
        <w:pStyle w:val="ListParagraph"/>
        <w:numPr>
          <w:ilvl w:val="0"/>
          <w:numId w:val="58"/>
        </w:numPr>
        <w:tabs>
          <w:tab w:pos="1060" w:val="left" w:leader="none"/>
        </w:tabs>
        <w:spacing w:line="240" w:lineRule="auto" w:before="0" w:after="0"/>
        <w:ind w:left="1059" w:right="0" w:hanging="222"/>
        <w:jc w:val="left"/>
        <w:rPr>
          <w:sz w:val="20"/>
        </w:rPr>
      </w:pPr>
      <w:r>
        <w:rPr>
          <w:sz w:val="20"/>
        </w:rPr>
        <w:t>Repita el acto</w:t>
      </w:r>
      <w:r>
        <w:rPr>
          <w:spacing w:val="-5"/>
          <w:sz w:val="20"/>
        </w:rPr>
        <w:t> </w:t>
      </w:r>
      <w:r>
        <w:rPr>
          <w:sz w:val="20"/>
        </w:rPr>
        <w:t>reclamado;</w:t>
      </w:r>
    </w:p>
    <w:p>
      <w:pPr>
        <w:pStyle w:val="BodyText"/>
        <w:spacing w:before="1"/>
      </w:pPr>
    </w:p>
    <w:p>
      <w:pPr>
        <w:pStyle w:val="ListParagraph"/>
        <w:numPr>
          <w:ilvl w:val="0"/>
          <w:numId w:val="58"/>
        </w:numPr>
        <w:tabs>
          <w:tab w:pos="1125" w:val="left" w:leader="none"/>
        </w:tabs>
        <w:spacing w:line="242" w:lineRule="auto" w:before="0" w:after="0"/>
        <w:ind w:left="838" w:right="115" w:firstLine="0"/>
        <w:jc w:val="both"/>
        <w:rPr>
          <w:sz w:val="20"/>
        </w:rPr>
      </w:pPr>
      <w:r>
        <w:rPr>
          <w:sz w:val="20"/>
        </w:rPr>
        <w:t>Omita cumplir cabalmente con la resolución que establece la existencia del exceso o defecto; y</w:t>
      </w:r>
    </w:p>
    <w:p>
      <w:pPr>
        <w:pStyle w:val="BodyText"/>
        <w:spacing w:before="6"/>
        <w:rPr>
          <w:sz w:val="19"/>
        </w:rPr>
      </w:pPr>
    </w:p>
    <w:p>
      <w:pPr>
        <w:pStyle w:val="ListParagraph"/>
        <w:numPr>
          <w:ilvl w:val="0"/>
          <w:numId w:val="58"/>
        </w:numPr>
        <w:tabs>
          <w:tab w:pos="1158" w:val="left" w:leader="none"/>
        </w:tabs>
        <w:spacing w:line="242" w:lineRule="auto" w:before="0" w:after="0"/>
        <w:ind w:left="838" w:right="124" w:firstLine="0"/>
        <w:jc w:val="both"/>
        <w:rPr>
          <w:sz w:val="20"/>
        </w:rPr>
      </w:pPr>
      <w:r>
        <w:rPr>
          <w:sz w:val="20"/>
        </w:rPr>
        <w:t>Incumpla la resolución en el incidente que estime incumplimiento sobre declaratoria general de</w:t>
      </w:r>
      <w:r>
        <w:rPr>
          <w:spacing w:val="-2"/>
          <w:sz w:val="20"/>
        </w:rPr>
        <w:t> </w:t>
      </w:r>
      <w:r>
        <w:rPr>
          <w:sz w:val="20"/>
        </w:rPr>
        <w:t>inconstitucionalidad.</w:t>
      </w:r>
    </w:p>
    <w:p>
      <w:pPr>
        <w:pStyle w:val="BodyText"/>
        <w:spacing w:before="11"/>
        <w:rPr>
          <w:sz w:val="19"/>
        </w:rPr>
      </w:pPr>
    </w:p>
    <w:p>
      <w:pPr>
        <w:pStyle w:val="BodyText"/>
        <w:ind w:left="118" w:right="114" w:firstLine="288"/>
        <w:jc w:val="both"/>
      </w:pPr>
      <w:r>
        <w:rPr/>
        <w:t>Las mismas penas que se señalan en este artículo serán impuestas en su caso al superior de la autoridad responsable que no haga cumplir una sentencia de amparo.</w:t>
      </w:r>
    </w:p>
    <w:p>
      <w:pPr>
        <w:pStyle w:val="BodyText"/>
        <w:spacing w:before="7"/>
        <w:rPr>
          <w:sz w:val="19"/>
        </w:rPr>
      </w:pPr>
    </w:p>
    <w:p>
      <w:pPr>
        <w:pStyle w:val="BodyText"/>
        <w:spacing w:line="242" w:lineRule="auto" w:before="1"/>
        <w:ind w:left="118" w:right="118" w:firstLine="288"/>
        <w:jc w:val="both"/>
      </w:pPr>
      <w:bookmarkStart w:name="Artículo_268" w:id="268"/>
      <w:bookmarkEnd w:id="268"/>
      <w:r>
        <w:rPr/>
      </w:r>
      <w:r>
        <w:rPr>
          <w:b/>
        </w:rPr>
        <w:t>Artículo 268. </w:t>
      </w:r>
      <w:r>
        <w:rPr/>
        <w:t>Se impondrá pena de uno a tres años de prisión o multa de treinta a trescientos días y, en ambos casos, destitución e inhabilitación de uno a tres años para desempeñar otro cargo, empleo o</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comisión públicos a la autoridad que dolosamente aplique una norma declarada inconstitucional por la Suprema Corte de Justicia de la Nación, mediante una declaratoria general de inconstitucionalidad.</w:t>
      </w:r>
    </w:p>
    <w:p>
      <w:pPr>
        <w:pStyle w:val="BodyText"/>
        <w:spacing w:before="11"/>
        <w:rPr>
          <w:sz w:val="19"/>
        </w:rPr>
      </w:pPr>
    </w:p>
    <w:p>
      <w:pPr>
        <w:pStyle w:val="BodyText"/>
        <w:ind w:left="118" w:right="121" w:firstLine="288"/>
        <w:jc w:val="both"/>
      </w:pPr>
      <w:bookmarkStart w:name="Artículo_269" w:id="269"/>
      <w:bookmarkEnd w:id="269"/>
      <w:r>
        <w:rPr/>
      </w:r>
      <w:r>
        <w:rPr>
          <w:b/>
        </w:rPr>
        <w:t>Artículo 269. </w:t>
      </w:r>
      <w:r>
        <w:rPr/>
        <w:t>La pérdida de la calidad de autoridad, no extingue la responsabilidad penal por los actos u omisiones realizados para no cumplir o eludir el cumplimiento de la sentencia de amparo cuando la ley le exija su acatamiento.</w:t>
      </w:r>
    </w:p>
    <w:p>
      <w:pPr>
        <w:pStyle w:val="BodyText"/>
        <w:spacing w:before="10"/>
        <w:rPr>
          <w:sz w:val="19"/>
        </w:rPr>
      </w:pPr>
    </w:p>
    <w:p>
      <w:pPr>
        <w:pStyle w:val="BodyText"/>
        <w:spacing w:line="242" w:lineRule="auto" w:before="1"/>
        <w:ind w:left="118" w:right="120" w:firstLine="288"/>
        <w:jc w:val="both"/>
      </w:pPr>
      <w:bookmarkStart w:name="Artículo_270" w:id="270"/>
      <w:bookmarkEnd w:id="270"/>
      <w:r>
        <w:rPr/>
      </w:r>
      <w:r>
        <w:rPr>
          <w:b/>
        </w:rPr>
        <w:t>Artículo 270. </w:t>
      </w:r>
      <w:r>
        <w:rPr/>
        <w:t>Las multas a que se refiere este Capítulo, son equivalentes a los días multa previstos en el Código Penal Federal.</w:t>
      </w:r>
    </w:p>
    <w:p>
      <w:pPr>
        <w:pStyle w:val="BodyText"/>
        <w:spacing w:before="5"/>
        <w:rPr>
          <w:sz w:val="19"/>
        </w:rPr>
      </w:pPr>
    </w:p>
    <w:p>
      <w:pPr>
        <w:pStyle w:val="BodyText"/>
        <w:spacing w:line="242" w:lineRule="auto"/>
        <w:ind w:left="118" w:right="116" w:firstLine="288"/>
        <w:jc w:val="both"/>
      </w:pPr>
      <w:bookmarkStart w:name="Artículo_271" w:id="271"/>
      <w:bookmarkEnd w:id="271"/>
      <w:r>
        <w:rPr/>
      </w:r>
      <w:r>
        <w:rPr>
          <w:b/>
        </w:rPr>
        <w:t>Artículo 271. </w:t>
      </w:r>
      <w:r>
        <w:rPr/>
        <w:t>Cuando al concederse definitivamente al quejoso el amparo aparezca que el acto reclamado además de violar derechos humanos y garantías constituye delito, se pondrá el hecho en conocimiento del Ministerio Público que corresponda.</w:t>
      </w:r>
    </w:p>
    <w:p>
      <w:pPr>
        <w:pStyle w:val="BodyText"/>
        <w:spacing w:before="7"/>
        <w:rPr>
          <w:sz w:val="19"/>
        </w:rPr>
      </w:pPr>
    </w:p>
    <w:p>
      <w:pPr>
        <w:pStyle w:val="Heading1"/>
        <w:spacing w:before="1"/>
      </w:pPr>
      <w:bookmarkStart w:name="TRANSITORIOS_DE_LA_LEY" w:id="272"/>
      <w:bookmarkEnd w:id="272"/>
      <w:r>
        <w:rPr>
          <w:b w:val="0"/>
        </w:rPr>
      </w:r>
      <w:r>
        <w:rPr/>
        <w:t>TRANSITORIOS</w:t>
      </w:r>
    </w:p>
    <w:p>
      <w:pPr>
        <w:pStyle w:val="BodyText"/>
        <w:spacing w:before="10"/>
        <w:rPr>
          <w:b/>
          <w:sz w:val="19"/>
        </w:rPr>
      </w:pPr>
    </w:p>
    <w:p>
      <w:pPr>
        <w:pStyle w:val="BodyText"/>
        <w:spacing w:line="242" w:lineRule="auto"/>
        <w:ind w:left="118" w:right="123" w:firstLine="288"/>
        <w:jc w:val="both"/>
      </w:pPr>
      <w:bookmarkStart w:name="Primero" w:id="273"/>
      <w:bookmarkEnd w:id="273"/>
      <w:r>
        <w:rPr/>
      </w:r>
      <w:r>
        <w:rPr>
          <w:b/>
        </w:rPr>
        <w:t>PRIMERO. </w:t>
      </w:r>
      <w:r>
        <w:rPr/>
        <w:t>La presente Ley entrará en vigor al día siguiente de su publicación en el Diario Oficial de la Federación.</w:t>
      </w:r>
    </w:p>
    <w:p>
      <w:pPr>
        <w:pStyle w:val="BodyText"/>
        <w:spacing w:before="6"/>
        <w:rPr>
          <w:sz w:val="19"/>
        </w:rPr>
      </w:pPr>
    </w:p>
    <w:p>
      <w:pPr>
        <w:pStyle w:val="BodyText"/>
        <w:spacing w:line="242" w:lineRule="auto"/>
        <w:ind w:left="118" w:right="120" w:firstLine="288"/>
        <w:jc w:val="both"/>
      </w:pPr>
      <w:bookmarkStart w:name="Segundo" w:id="274"/>
      <w:bookmarkEnd w:id="274"/>
      <w:r>
        <w:rPr/>
      </w:r>
      <w:r>
        <w:rPr>
          <w:b/>
        </w:rPr>
        <w:t>SEGUNDO. </w:t>
      </w:r>
      <w:r>
        <w:rPr/>
        <w:t>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pPr>
        <w:pStyle w:val="BodyText"/>
        <w:spacing w:before="6"/>
        <w:rPr>
          <w:sz w:val="19"/>
        </w:rPr>
      </w:pPr>
    </w:p>
    <w:p>
      <w:pPr>
        <w:pStyle w:val="BodyText"/>
        <w:ind w:left="118" w:right="114" w:firstLine="288"/>
        <w:jc w:val="both"/>
      </w:pPr>
      <w:bookmarkStart w:name="Tercero" w:id="275"/>
      <w:bookmarkEnd w:id="275"/>
      <w:r>
        <w:rPr/>
      </w:r>
      <w:r>
        <w:rPr>
          <w:b/>
        </w:rPr>
        <w:t>TERCERO. </w:t>
      </w:r>
      <w:r>
        <w:rPr/>
        <w:t>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pPr>
        <w:pStyle w:val="BodyText"/>
      </w:pPr>
    </w:p>
    <w:p>
      <w:pPr>
        <w:pStyle w:val="BodyText"/>
        <w:ind w:left="118" w:right="121" w:firstLine="288"/>
        <w:jc w:val="both"/>
      </w:pPr>
      <w:bookmarkStart w:name="Cuarto" w:id="276"/>
      <w:bookmarkEnd w:id="276"/>
      <w:r>
        <w:rPr/>
      </w:r>
      <w:r>
        <w:rPr>
          <w:b/>
        </w:rPr>
        <w:t>CUARTO. </w:t>
      </w:r>
      <w:r>
        <w:rPr/>
        <w:t>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pPr>
        <w:pStyle w:val="BodyText"/>
      </w:pPr>
    </w:p>
    <w:p>
      <w:pPr>
        <w:pStyle w:val="BodyText"/>
        <w:spacing w:line="242" w:lineRule="auto"/>
        <w:ind w:left="118" w:right="123" w:firstLine="288"/>
        <w:jc w:val="both"/>
      </w:pPr>
      <w:bookmarkStart w:name="Quinto" w:id="277"/>
      <w:bookmarkEnd w:id="277"/>
      <w:r>
        <w:rPr/>
      </w:r>
      <w:r>
        <w:rPr>
          <w:b/>
        </w:rPr>
        <w:t>QUINTO. </w:t>
      </w:r>
      <w:r>
        <w:rPr/>
        <w:t>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pPr>
        <w:pStyle w:val="BodyText"/>
        <w:spacing w:before="6"/>
        <w:rPr>
          <w:sz w:val="19"/>
        </w:rPr>
      </w:pPr>
    </w:p>
    <w:p>
      <w:pPr>
        <w:pStyle w:val="BodyText"/>
        <w:ind w:left="118" w:right="115" w:firstLine="288"/>
        <w:jc w:val="both"/>
      </w:pPr>
      <w:r>
        <w:rP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w:t>
      </w:r>
      <w:r>
        <w:rPr>
          <w:spacing w:val="-2"/>
        </w:rPr>
        <w:t> </w:t>
      </w:r>
      <w:r>
        <w:rPr/>
        <w:t>ejecución.</w:t>
      </w:r>
    </w:p>
    <w:p>
      <w:pPr>
        <w:pStyle w:val="BodyText"/>
        <w:spacing w:before="10"/>
        <w:rPr>
          <w:sz w:val="19"/>
        </w:rPr>
      </w:pPr>
    </w:p>
    <w:p>
      <w:pPr>
        <w:pStyle w:val="BodyText"/>
        <w:spacing w:line="242" w:lineRule="auto"/>
        <w:ind w:left="118" w:right="121" w:firstLine="288"/>
        <w:jc w:val="both"/>
      </w:pPr>
      <w:bookmarkStart w:name="Sexto" w:id="278"/>
      <w:bookmarkEnd w:id="278"/>
      <w:r>
        <w:rPr/>
      </w:r>
      <w:r>
        <w:rPr>
          <w:b/>
        </w:rPr>
        <w:t>SEXTO. </w:t>
      </w:r>
      <w:r>
        <w:rPr/>
        <w:t>La jurisprudencia integrada conforme a la ley anterior continuará en vigor en lo que no se oponga a la presente Ley.</w:t>
      </w:r>
    </w:p>
    <w:p>
      <w:pPr>
        <w:pStyle w:val="BodyText"/>
        <w:spacing w:before="6"/>
        <w:rPr>
          <w:sz w:val="19"/>
        </w:rPr>
      </w:pPr>
    </w:p>
    <w:p>
      <w:pPr>
        <w:pStyle w:val="BodyText"/>
        <w:spacing w:line="242" w:lineRule="auto"/>
        <w:ind w:left="118" w:right="123" w:firstLine="288"/>
        <w:jc w:val="both"/>
      </w:pPr>
      <w:bookmarkStart w:name="Séptimo" w:id="279"/>
      <w:bookmarkEnd w:id="279"/>
      <w:r>
        <w:rPr/>
      </w:r>
      <w:r>
        <w:rPr>
          <w:b/>
        </w:rPr>
        <w:t>SÉPTIMO. </w:t>
      </w:r>
      <w:r>
        <w:rPr/>
        <w:t>Para la integración de la jurisprudencia por reiteración de criterios a que se refiere la presente Ley no se tomarán en cuenta las tesis aprobadas en los asuntos resueltos conforme a la ley anterior.</w:t>
      </w:r>
    </w:p>
    <w:p>
      <w:pPr>
        <w:pStyle w:val="BodyText"/>
        <w:spacing w:before="6"/>
        <w:rPr>
          <w:sz w:val="19"/>
        </w:rPr>
      </w:pPr>
    </w:p>
    <w:p>
      <w:pPr>
        <w:pStyle w:val="BodyText"/>
        <w:spacing w:line="242" w:lineRule="auto"/>
        <w:ind w:left="118" w:right="124" w:firstLine="288"/>
        <w:jc w:val="both"/>
      </w:pPr>
      <w:bookmarkStart w:name="Octavo" w:id="280"/>
      <w:bookmarkEnd w:id="280"/>
      <w:r>
        <w:rPr/>
      </w:r>
      <w:r>
        <w:rPr>
          <w:b/>
        </w:rPr>
        <w:t>OCTAVO. </w:t>
      </w:r>
      <w:r>
        <w:rPr/>
        <w:t>Las declaratorias generales de inconstitucionalidad no podrán ser hechas respecto de tesis aprobadas conforme a la ley anterior.</w:t>
      </w:r>
    </w:p>
    <w:p>
      <w:pPr>
        <w:spacing w:after="0" w:line="242" w:lineRule="auto"/>
        <w:jc w:val="both"/>
        <w:sectPr>
          <w:pgSz w:w="12240" w:h="15840"/>
          <w:pgMar w:header="708" w:footer="712" w:top="1760" w:bottom="900" w:left="1300" w:right="1300"/>
        </w:sectPr>
      </w:pPr>
    </w:p>
    <w:p>
      <w:pPr>
        <w:pStyle w:val="BodyText"/>
      </w:pPr>
    </w:p>
    <w:p>
      <w:pPr>
        <w:pStyle w:val="BodyText"/>
        <w:spacing w:before="6"/>
        <w:rPr>
          <w:sz w:val="27"/>
        </w:rPr>
      </w:pPr>
    </w:p>
    <w:p>
      <w:pPr>
        <w:pStyle w:val="BodyText"/>
        <w:spacing w:line="242" w:lineRule="auto" w:before="92"/>
        <w:ind w:left="118" w:right="122" w:firstLine="288"/>
        <w:jc w:val="both"/>
      </w:pPr>
      <w:bookmarkStart w:name="Noveno" w:id="281"/>
      <w:bookmarkEnd w:id="281"/>
      <w:r>
        <w:rPr/>
      </w:r>
      <w:r>
        <w:rPr>
          <w:b/>
        </w:rPr>
        <w:t>NOVENO. </w:t>
      </w:r>
      <w:r>
        <w:rPr/>
        <w:t>La Suprema Corte de Justicia de la Nación y el Consejo de la Judicatura Federal en el ámbito de sus respectivas competencias podrán dictar las medidas necesarias para lograr el efectivo e inmediato cumplimiento de la presente Ley.</w:t>
      </w:r>
    </w:p>
    <w:p>
      <w:pPr>
        <w:pStyle w:val="BodyText"/>
        <w:spacing w:before="3"/>
        <w:rPr>
          <w:sz w:val="11"/>
        </w:rPr>
      </w:pPr>
    </w:p>
    <w:p>
      <w:pPr>
        <w:spacing w:after="0"/>
        <w:rPr>
          <w:sz w:val="11"/>
        </w:rPr>
        <w:sectPr>
          <w:pgSz w:w="12240" w:h="15840"/>
          <w:pgMar w:header="708" w:footer="712" w:top="1760" w:bottom="900" w:left="1300" w:right="1300"/>
        </w:sectPr>
      </w:pPr>
    </w:p>
    <w:p>
      <w:pPr>
        <w:spacing w:before="93"/>
        <w:ind w:left="406" w:right="0" w:firstLine="0"/>
        <w:jc w:val="left"/>
        <w:rPr>
          <w:sz w:val="20"/>
        </w:rPr>
      </w:pPr>
      <w:bookmarkStart w:name="Décimo" w:id="282"/>
      <w:bookmarkEnd w:id="282"/>
      <w:r>
        <w:rPr/>
      </w:r>
      <w:r>
        <w:rPr>
          <w:b/>
          <w:sz w:val="20"/>
        </w:rPr>
        <w:t>DÉCIMO. </w:t>
      </w:r>
      <w:r>
        <w:rPr>
          <w:sz w:val="20"/>
        </w:rPr>
        <w:t>Se deroga.</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Artículo derogado DOF 17-06-2016</w:t>
      </w:r>
    </w:p>
    <w:p>
      <w:pPr>
        <w:spacing w:after="0"/>
        <w:jc w:val="left"/>
        <w:rPr>
          <w:rFonts w:ascii="Times New Roman" w:hAnsi="Times New Roman"/>
          <w:sz w:val="16"/>
        </w:rPr>
        <w:sectPr>
          <w:type w:val="continuous"/>
          <w:pgSz w:w="12240" w:h="15840"/>
          <w:pgMar w:top="1760" w:bottom="900" w:left="1300" w:right="1300"/>
          <w:cols w:num="2" w:equalWidth="0">
            <w:col w:w="2334" w:space="4449"/>
            <w:col w:w="2857"/>
          </w:cols>
        </w:sectPr>
      </w:pPr>
    </w:p>
    <w:p>
      <w:pPr>
        <w:pStyle w:val="BodyText"/>
        <w:rPr>
          <w:rFonts w:ascii="Times New Roman"/>
          <w:i/>
          <w:sz w:val="12"/>
        </w:rPr>
      </w:pPr>
    </w:p>
    <w:p>
      <w:pPr>
        <w:pStyle w:val="BodyText"/>
        <w:spacing w:before="93"/>
        <w:ind w:left="118" w:right="122" w:firstLine="288"/>
        <w:jc w:val="both"/>
      </w:pPr>
      <w:bookmarkStart w:name="Décimo_Primero" w:id="283"/>
      <w:bookmarkEnd w:id="283"/>
      <w:r>
        <w:rPr/>
      </w:r>
      <w:r>
        <w:rPr>
          <w:b/>
        </w:rPr>
        <w:t>DÉCIMO PRIMERO. </w:t>
      </w:r>
      <w:r>
        <w:rPr/>
        <w:t>El Consejo de la Judicatura Federal expedirá el Reglamento a que hace referencia el artículo 3o del presente ordenamiento para la implementación del Sistema Electrónico y la utilización de la firma electrónica.</w:t>
      </w:r>
    </w:p>
    <w:p>
      <w:pPr>
        <w:pStyle w:val="BodyText"/>
        <w:spacing w:before="1"/>
      </w:pPr>
    </w:p>
    <w:p>
      <w:pPr>
        <w:pStyle w:val="BodyText"/>
        <w:spacing w:before="1"/>
        <w:ind w:left="118" w:right="124" w:firstLine="288"/>
        <w:jc w:val="both"/>
      </w:pPr>
      <w:r>
        <w:rPr/>
        <w:t>Asimismo el Consejo de la Judicatura Federal dictará los acuerdos generales a que refieren los artículos 41 Bis y Bis 1 del presente decreto, para la debida integración y funcionamiento de los Plenos de</w:t>
      </w:r>
      <w:r>
        <w:rPr>
          <w:spacing w:val="-2"/>
        </w:rPr>
        <w:t> </w:t>
      </w:r>
      <w:r>
        <w:rPr/>
        <w:t>Circuito.</w:t>
      </w:r>
    </w:p>
    <w:p>
      <w:pPr>
        <w:pStyle w:val="BodyText"/>
        <w:spacing w:before="11"/>
        <w:rPr>
          <w:sz w:val="19"/>
        </w:rPr>
      </w:pPr>
    </w:p>
    <w:p>
      <w:pPr>
        <w:pStyle w:val="BodyText"/>
        <w:ind w:left="118" w:right="121" w:firstLine="288"/>
        <w:jc w:val="both"/>
      </w:pPr>
      <w:r>
        <w:rPr/>
        <w:t>Las anteriores disposiciones deberán emitirse en un plazo de noventa días a partir de la entrada en vigor del presente Decreto.</w:t>
      </w:r>
    </w:p>
    <w:p>
      <w:pPr>
        <w:pStyle w:val="BodyText"/>
        <w:spacing w:before="10"/>
        <w:rPr>
          <w:sz w:val="19"/>
        </w:rPr>
      </w:pPr>
    </w:p>
    <w:p>
      <w:pPr>
        <w:pStyle w:val="Heading2"/>
        <w:rPr>
          <w:b w:val="0"/>
        </w:rPr>
      </w:pPr>
      <w:r>
        <w:rPr/>
        <w:t>ARTÍCULO SEGUNDO.</w:t>
      </w:r>
      <w:r>
        <w:rPr>
          <w:spacing w:val="-7"/>
        </w:rPr>
        <w:t> </w:t>
      </w:r>
      <w:r>
        <w:rPr>
          <w:b w:val="0"/>
        </w:rPr>
        <w:t>……….</w:t>
      </w:r>
    </w:p>
    <w:p>
      <w:pPr>
        <w:pStyle w:val="BodyText"/>
        <w:spacing w:before="10"/>
        <w:rPr>
          <w:sz w:val="19"/>
        </w:rPr>
      </w:pPr>
    </w:p>
    <w:p>
      <w:pPr>
        <w:spacing w:before="0"/>
        <w:ind w:left="406" w:right="0" w:firstLine="0"/>
        <w:jc w:val="left"/>
        <w:rPr>
          <w:sz w:val="20"/>
        </w:rPr>
      </w:pPr>
      <w:r>
        <w:rPr>
          <w:b/>
          <w:sz w:val="20"/>
        </w:rPr>
        <w:t>ARTÍCULO TERCERO.</w:t>
      </w:r>
      <w:r>
        <w:rPr>
          <w:b/>
          <w:spacing w:val="-7"/>
          <w:sz w:val="20"/>
        </w:rPr>
        <w:t> </w:t>
      </w:r>
      <w:r>
        <w:rPr>
          <w:sz w:val="20"/>
        </w:rPr>
        <w:t>……….</w:t>
      </w:r>
    </w:p>
    <w:p>
      <w:pPr>
        <w:pStyle w:val="BodyText"/>
        <w:spacing w:before="1"/>
      </w:pPr>
    </w:p>
    <w:p>
      <w:pPr>
        <w:spacing w:before="0"/>
        <w:ind w:left="406" w:right="0" w:firstLine="0"/>
        <w:jc w:val="left"/>
        <w:rPr>
          <w:sz w:val="20"/>
        </w:rPr>
      </w:pPr>
      <w:r>
        <w:rPr>
          <w:b/>
          <w:sz w:val="20"/>
        </w:rPr>
        <w:t>ARTÍCULO CUARTO. </w:t>
      </w:r>
      <w:r>
        <w:rPr>
          <w:sz w:val="20"/>
        </w:rPr>
        <w:t>……….</w:t>
      </w:r>
    </w:p>
    <w:p>
      <w:pPr>
        <w:pStyle w:val="BodyText"/>
        <w:spacing w:before="1"/>
      </w:pPr>
    </w:p>
    <w:p>
      <w:pPr>
        <w:spacing w:before="0"/>
        <w:ind w:left="406" w:right="0" w:firstLine="0"/>
        <w:jc w:val="left"/>
        <w:rPr>
          <w:sz w:val="20"/>
        </w:rPr>
      </w:pPr>
      <w:r>
        <w:rPr>
          <w:b/>
          <w:sz w:val="20"/>
        </w:rPr>
        <w:t>ARTÍCULO QUINTO. </w:t>
      </w:r>
      <w:r>
        <w:rPr>
          <w:sz w:val="20"/>
        </w:rPr>
        <w:t>……….</w:t>
      </w:r>
    </w:p>
    <w:p>
      <w:pPr>
        <w:pStyle w:val="BodyText"/>
        <w:spacing w:before="9"/>
        <w:rPr>
          <w:sz w:val="11"/>
        </w:rPr>
      </w:pPr>
    </w:p>
    <w:p>
      <w:pPr>
        <w:spacing w:after="0"/>
        <w:rPr>
          <w:sz w:val="11"/>
        </w:rPr>
        <w:sectPr>
          <w:type w:val="continuous"/>
          <w:pgSz w:w="12240" w:h="15840"/>
          <w:pgMar w:top="1760" w:bottom="900" w:left="1300" w:right="1300"/>
        </w:sectPr>
      </w:pPr>
    </w:p>
    <w:p>
      <w:pPr>
        <w:spacing w:before="93"/>
        <w:ind w:left="406" w:right="0" w:firstLine="0"/>
        <w:jc w:val="left"/>
        <w:rPr>
          <w:sz w:val="20"/>
        </w:rPr>
      </w:pPr>
      <w:r>
        <w:rPr>
          <w:b/>
          <w:sz w:val="20"/>
        </w:rPr>
        <w:t>ARTÍCULO SEXTO. </w:t>
      </w:r>
      <w:r>
        <w:rPr>
          <w:sz w:val="20"/>
        </w:rPr>
        <w:t>……….</w:t>
      </w:r>
    </w:p>
    <w:p>
      <w:pPr>
        <w:pStyle w:val="BodyText"/>
        <w:rPr>
          <w:sz w:val="24"/>
        </w:rPr>
      </w:pPr>
      <w:r>
        <w:rPr/>
        <w:br w:type="column"/>
      </w:r>
      <w:r>
        <w:rPr>
          <w:sz w:val="24"/>
        </w:rPr>
      </w:r>
    </w:p>
    <w:p>
      <w:pPr>
        <w:pStyle w:val="BodyText"/>
        <w:spacing w:before="2"/>
        <w:rPr>
          <w:sz w:val="24"/>
        </w:rPr>
      </w:pPr>
    </w:p>
    <w:p>
      <w:pPr>
        <w:spacing w:before="1"/>
        <w:ind w:left="406" w:right="0" w:firstLine="0"/>
        <w:jc w:val="left"/>
        <w:rPr>
          <w:b/>
          <w:sz w:val="22"/>
        </w:rPr>
      </w:pPr>
      <w:bookmarkStart w:name="TRANSITORIO_DEL_DECRETO" w:id="284"/>
      <w:bookmarkEnd w:id="284"/>
      <w:r>
        <w:rPr/>
      </w:r>
      <w:r>
        <w:rPr>
          <w:b/>
          <w:sz w:val="22"/>
        </w:rPr>
        <w:t>TRANSITORIO</w:t>
      </w:r>
    </w:p>
    <w:p>
      <w:pPr>
        <w:spacing w:after="0"/>
        <w:jc w:val="left"/>
        <w:rPr>
          <w:sz w:val="22"/>
        </w:rPr>
        <w:sectPr>
          <w:type w:val="continuous"/>
          <w:pgSz w:w="12240" w:h="15840"/>
          <w:pgMar w:top="1760" w:bottom="900" w:left="1300" w:right="1300"/>
          <w:cols w:num="2" w:equalWidth="0">
            <w:col w:w="2979" w:space="676"/>
            <w:col w:w="5985"/>
          </w:cols>
        </w:sectPr>
      </w:pPr>
    </w:p>
    <w:p>
      <w:pPr>
        <w:pStyle w:val="BodyText"/>
        <w:spacing w:before="9"/>
        <w:rPr>
          <w:b/>
          <w:sz w:val="11"/>
        </w:rPr>
      </w:pPr>
    </w:p>
    <w:p>
      <w:pPr>
        <w:pStyle w:val="BodyText"/>
        <w:spacing w:line="242" w:lineRule="auto" w:before="93"/>
        <w:ind w:left="118" w:right="120" w:firstLine="288"/>
        <w:jc w:val="both"/>
      </w:pPr>
      <w:bookmarkStart w:name="Único" w:id="285"/>
      <w:bookmarkEnd w:id="285"/>
      <w:r>
        <w:rPr/>
      </w: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0"/>
        <w:ind w:left="118" w:right="113" w:firstLine="288"/>
        <w:jc w:val="both"/>
        <w:rPr>
          <w:b/>
          <w:sz w:val="20"/>
        </w:rPr>
      </w:pPr>
      <w:r>
        <w:rPr>
          <w:sz w:val="20"/>
        </w:rPr>
        <w:t>México, D.F., a 20 de marzo de 2013.- Dip. </w:t>
      </w:r>
      <w:r>
        <w:rPr>
          <w:b/>
          <w:sz w:val="20"/>
        </w:rPr>
        <w:t>Francisco Arroyo Vieyra</w:t>
      </w:r>
      <w:r>
        <w:rPr>
          <w:sz w:val="20"/>
        </w:rPr>
        <w:t>, Presidente.- Sen. </w:t>
      </w:r>
      <w:r>
        <w:rPr>
          <w:b/>
          <w:sz w:val="20"/>
        </w:rPr>
        <w:t>Ernesto Cordero Arroyo</w:t>
      </w:r>
      <w:r>
        <w:rPr>
          <w:sz w:val="20"/>
        </w:rPr>
        <w:t>, Presidente.- Dip. </w:t>
      </w:r>
      <w:r>
        <w:rPr>
          <w:b/>
          <w:sz w:val="20"/>
        </w:rPr>
        <w:t>Javier Orozco Gómez</w:t>
      </w:r>
      <w:r>
        <w:rPr>
          <w:sz w:val="20"/>
        </w:rPr>
        <w:t>, Secretario.- Sen. </w:t>
      </w:r>
      <w:r>
        <w:rPr>
          <w:b/>
          <w:sz w:val="20"/>
        </w:rPr>
        <w:t>Lilia Guadalupe Merodio Reza</w:t>
      </w:r>
      <w:r>
        <w:rPr>
          <w:sz w:val="20"/>
        </w:rPr>
        <w:t>, Secretaria.- Rúbricas.</w:t>
      </w:r>
      <w:r>
        <w:rPr>
          <w:b/>
          <w:sz w:val="20"/>
        </w:rPr>
        <w:t>"</w:t>
      </w:r>
    </w:p>
    <w:p>
      <w:pPr>
        <w:pStyle w:val="BodyText"/>
        <w:spacing w:before="2"/>
        <w:rPr>
          <w:b/>
        </w:rPr>
      </w:pPr>
    </w:p>
    <w:p>
      <w:pPr>
        <w:pStyle w:val="BodyText"/>
        <w:ind w:left="118" w:right="11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abril de dos mil trece.-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1"/>
        <w:rPr>
          <w:sz w:val="27"/>
        </w:rPr>
      </w:pPr>
    </w:p>
    <w:p>
      <w:pPr>
        <w:spacing w:before="101"/>
        <w:ind w:left="605" w:right="605" w:firstLine="0"/>
        <w:jc w:val="center"/>
        <w:rPr>
          <w:rFonts w:ascii="Tahoma" w:hAnsi="Tahoma"/>
          <w:b/>
          <w:sz w:val="22"/>
        </w:rPr>
      </w:pPr>
      <w:bookmarkStart w:name="TRANSITORIOS_DE_DECRETOS_DE_REFORMA" w:id="286"/>
      <w:bookmarkEnd w:id="286"/>
      <w:r>
        <w:rPr/>
      </w:r>
      <w:r>
        <w:rPr>
          <w:rFonts w:ascii="Tahoma" w:hAnsi="Tahoma"/>
          <w:b/>
          <w:color w:val="008000"/>
          <w:sz w:val="22"/>
        </w:rPr>
        <w:t>ARTÍCULOS TRANSITORIOS DE DECRETOS DE REFORMA</w:t>
      </w:r>
    </w:p>
    <w:p>
      <w:pPr>
        <w:spacing w:before="228"/>
        <w:ind w:left="118" w:right="113" w:firstLine="0"/>
        <w:jc w:val="both"/>
        <w:rPr>
          <w:b/>
          <w:sz w:val="22"/>
        </w:rPr>
      </w:pPr>
      <w:r>
        <w:rPr>
          <w:b/>
          <w:sz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BodyText"/>
        <w:rPr>
          <w:b/>
        </w:rPr>
      </w:pPr>
    </w:p>
    <w:p>
      <w:pPr>
        <w:spacing w:before="0"/>
        <w:ind w:left="604" w:right="605" w:firstLine="0"/>
        <w:jc w:val="center"/>
        <w:rPr>
          <w:sz w:val="16"/>
        </w:rPr>
      </w:pPr>
      <w:r>
        <w:rPr>
          <w:sz w:val="16"/>
        </w:rPr>
        <w:t>Publicado en el Diario Oficial de la Federación el 14 de julio de 2014</w:t>
      </w:r>
    </w:p>
    <w:p>
      <w:pPr>
        <w:pStyle w:val="BodyText"/>
        <w:spacing w:before="8"/>
        <w:rPr>
          <w:sz w:val="19"/>
        </w:rPr>
      </w:pPr>
    </w:p>
    <w:p>
      <w:pPr>
        <w:pStyle w:val="BodyText"/>
        <w:spacing w:line="242" w:lineRule="auto" w:before="1"/>
        <w:ind w:left="118" w:right="115" w:firstLine="288"/>
        <w:jc w:val="both"/>
      </w:pPr>
      <w:r>
        <w:rPr>
          <w:b/>
        </w:rPr>
        <w:t>ARTÍCULO QUINTO.- </w:t>
      </w:r>
      <w:r>
        <w:rPr/>
        <w:t>Se reforma el primer párrafo del artículo 128; y se adicionan una fracción IX al artículo 107 y un tercer párrafo al artículo 128, todos de la Ley de Amparo, Reglamentaria de los artículos 103 y 107 de la Constitución Política de los Estados Unidos Mexicanos, para quedar como sigue:</w:t>
      </w:r>
    </w:p>
    <w:p>
      <w:pPr>
        <w:pStyle w:val="BodyText"/>
        <w:spacing w:before="8"/>
        <w:rPr>
          <w:sz w:val="11"/>
        </w:rPr>
      </w:pPr>
    </w:p>
    <w:p>
      <w:pPr>
        <w:spacing w:after="0"/>
        <w:rPr>
          <w:sz w:val="11"/>
        </w:rPr>
        <w:sectPr>
          <w:pgSz w:w="12240" w:h="15840"/>
          <w:pgMar w:header="708"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536"/>
            <w:col w:w="6059"/>
          </w:cols>
        </w:sectPr>
      </w:pPr>
    </w:p>
    <w:p>
      <w:pPr>
        <w:pStyle w:val="BodyText"/>
        <w:rPr>
          <w:b/>
          <w:sz w:val="12"/>
        </w:rPr>
      </w:pPr>
    </w:p>
    <w:p>
      <w:pPr>
        <w:pStyle w:val="BodyText"/>
        <w:spacing w:before="93"/>
        <w:ind w:left="118" w:right="122" w:firstLine="288"/>
        <w:jc w:val="both"/>
      </w:pPr>
      <w:r>
        <w:rPr>
          <w:b/>
        </w:rPr>
        <w:t>PRIMERO. </w:t>
      </w:r>
      <w:r>
        <w:rPr/>
        <w:t>El presente Decreto entrará en vigor a los treinta días naturales siguientes a su</w:t>
      </w:r>
      <w:r>
        <w:rPr>
          <w:spacing w:val="-24"/>
        </w:rPr>
        <w:t> </w:t>
      </w:r>
      <w:r>
        <w:rPr/>
        <w:t>publicación en el Diario Oficial de la Federación, sin perjuicio de lo dispuesto en los transitorios</w:t>
      </w:r>
      <w:r>
        <w:rPr>
          <w:spacing w:val="-15"/>
        </w:rPr>
        <w:t> </w:t>
      </w:r>
      <w:r>
        <w:rPr/>
        <w:t>siguientes.</w:t>
      </w:r>
    </w:p>
    <w:p>
      <w:pPr>
        <w:pStyle w:val="BodyText"/>
        <w:spacing w:before="10"/>
        <w:rPr>
          <w:sz w:val="19"/>
        </w:rPr>
      </w:pPr>
    </w:p>
    <w:p>
      <w:pPr>
        <w:pStyle w:val="BodyText"/>
        <w:spacing w:line="242" w:lineRule="auto" w:before="1"/>
        <w:ind w:left="118" w:right="117" w:firstLine="288"/>
        <w:jc w:val="both"/>
      </w:pPr>
      <w:r>
        <w:rPr>
          <w:b/>
        </w:rPr>
        <w:t>SEGUNDO. </w:t>
      </w:r>
      <w:r>
        <w:rPr/>
        <w:t>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w:t>
      </w:r>
      <w:r>
        <w:rPr>
          <w:spacing w:val="-1"/>
        </w:rPr>
        <w:t> </w:t>
      </w:r>
      <w:r>
        <w:rPr/>
        <w:t>Decreto.</w:t>
      </w:r>
    </w:p>
    <w:p>
      <w:pPr>
        <w:pStyle w:val="BodyText"/>
        <w:spacing w:before="1"/>
        <w:rPr>
          <w:sz w:val="19"/>
        </w:rPr>
      </w:pPr>
    </w:p>
    <w:p>
      <w:pPr>
        <w:pStyle w:val="BodyText"/>
        <w:spacing w:line="242" w:lineRule="auto" w:before="1"/>
        <w:ind w:left="118" w:right="121" w:firstLine="288"/>
        <w:jc w:val="both"/>
      </w:pPr>
      <w:r>
        <w:rPr>
          <w:b/>
        </w:rPr>
        <w:t>TERCERO. </w:t>
      </w:r>
      <w:r>
        <w:rPr/>
        <w:t>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BodyText"/>
        <w:spacing w:before="2"/>
        <w:rPr>
          <w:sz w:val="19"/>
        </w:rPr>
      </w:pPr>
    </w:p>
    <w:p>
      <w:pPr>
        <w:pStyle w:val="BodyText"/>
        <w:spacing w:line="242" w:lineRule="auto"/>
        <w:ind w:left="118" w:right="120" w:firstLine="288"/>
        <w:jc w:val="both"/>
      </w:pPr>
      <w:r>
        <w:rPr>
          <w:b/>
        </w:rPr>
        <w:t>CUARTO. </w:t>
      </w:r>
      <w:r>
        <w:rPr/>
        <w:t>El Instituto Federal de Telecomunicaciones deberá adecuar a la Ley Federal de Telecomunicaciones y Radiodifusión su estatuto orgánico, dentro de los sesenta días naturales siguientes a la entrada en vigor del presente Decreto.</w:t>
      </w:r>
    </w:p>
    <w:p>
      <w:pPr>
        <w:pStyle w:val="BodyText"/>
        <w:spacing w:before="6"/>
        <w:rPr>
          <w:sz w:val="19"/>
        </w:rPr>
      </w:pPr>
    </w:p>
    <w:p>
      <w:pPr>
        <w:pStyle w:val="BodyText"/>
        <w:ind w:left="118" w:right="125" w:firstLine="288"/>
        <w:jc w:val="both"/>
      </w:pPr>
      <w:r>
        <w:rPr>
          <w:b/>
        </w:rPr>
        <w:t>QUINTO. </w:t>
      </w:r>
      <w:r>
        <w:rPr/>
        <w:t>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w:t>
      </w:r>
      <w:r>
        <w:rPr>
          <w:spacing w:val="-3"/>
        </w:rPr>
        <w:t> </w:t>
      </w:r>
      <w:r>
        <w:rPr/>
        <w:t>Decreto.</w:t>
      </w:r>
    </w:p>
    <w:p>
      <w:pPr>
        <w:pStyle w:val="BodyText"/>
        <w:spacing w:before="2"/>
      </w:pPr>
    </w:p>
    <w:p>
      <w:pPr>
        <w:pStyle w:val="BodyText"/>
        <w:ind w:left="118" w:right="115" w:firstLine="288"/>
        <w:jc w:val="both"/>
      </w:pPr>
      <w:r>
        <w:rPr/>
        <w:t>Los concesionarios de radiodifusión y de televisión o audio restringidos no podrán promocionar video- juegos que no hayan sido clasificados de acuerdo a la normatividad aplicable, misma que deberá expedir el Ejecutivo Federal dentro del plazo referido en el párrafo anterior.</w:t>
      </w:r>
    </w:p>
    <w:p>
      <w:pPr>
        <w:pStyle w:val="BodyText"/>
        <w:spacing w:before="9"/>
        <w:rPr>
          <w:sz w:val="19"/>
        </w:rPr>
      </w:pPr>
    </w:p>
    <w:p>
      <w:pPr>
        <w:pStyle w:val="BodyText"/>
        <w:ind w:left="118" w:right="123" w:firstLine="288"/>
        <w:jc w:val="both"/>
      </w:pPr>
      <w:r>
        <w:rPr>
          <w:b/>
        </w:rPr>
        <w:t>SEXTO. </w:t>
      </w:r>
      <w:r>
        <w:rPr/>
        <w:t>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BodyText"/>
        <w:spacing w:before="1"/>
      </w:pPr>
    </w:p>
    <w:p>
      <w:pPr>
        <w:pStyle w:val="BodyText"/>
        <w:spacing w:line="242" w:lineRule="auto"/>
        <w:ind w:left="118" w:right="122" w:firstLine="288"/>
        <w:jc w:val="both"/>
      </w:pPr>
      <w:r>
        <w:rPr>
          <w:b/>
        </w:rPr>
        <w:t>SÉPTIMO. </w:t>
      </w:r>
      <w:r>
        <w:rPr/>
        <w:t>Sin perjuicio de lo establecido en la Ley Federal de Telecomunicaciones y Radiodifusión que se expide por virtud del Decreto, en la ley y en la normatividad que al efecto emita el Instituto Federal</w:t>
      </w:r>
    </w:p>
    <w:p>
      <w:pPr>
        <w:spacing w:after="0" w:line="242" w:lineRule="auto"/>
        <w:jc w:val="both"/>
        <w:sectPr>
          <w:type w:val="continuous"/>
          <w:pgSz w:w="12240" w:h="15840"/>
          <w:pgMar w:top="1760" w:bottom="900" w:left="1300" w:right="1300"/>
        </w:sectPr>
      </w:pPr>
    </w:p>
    <w:p>
      <w:pPr>
        <w:pStyle w:val="BodyText"/>
        <w:spacing w:before="8"/>
        <w:rPr>
          <w:sz w:val="27"/>
        </w:rPr>
      </w:pPr>
    </w:p>
    <w:p>
      <w:pPr>
        <w:pStyle w:val="BodyText"/>
        <w:spacing w:before="92"/>
        <w:ind w:left="118" w:right="118"/>
        <w:jc w:val="both"/>
      </w:pPr>
      <w:r>
        <w:rPr/>
        <w:t>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w:t>
      </w:r>
      <w:r>
        <w:rPr>
          <w:spacing w:val="-3"/>
        </w:rPr>
        <w:t> </w:t>
      </w:r>
      <w:r>
        <w:rPr/>
        <w:t>establezca.</w:t>
      </w:r>
    </w:p>
    <w:p>
      <w:pPr>
        <w:pStyle w:val="BodyText"/>
        <w:spacing w:before="1"/>
      </w:pPr>
    </w:p>
    <w:p>
      <w:pPr>
        <w:pStyle w:val="BodyText"/>
        <w:ind w:left="118" w:right="121" w:firstLine="288"/>
        <w:jc w:val="both"/>
      </w:pPr>
      <w:r>
        <w:rP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w:t>
      </w:r>
      <w:r>
        <w:rPr>
          <w:spacing w:val="2"/>
        </w:rPr>
        <w:t> </w:t>
      </w:r>
      <w:r>
        <w:rPr/>
        <w:t>concesión.</w:t>
      </w:r>
    </w:p>
    <w:p>
      <w:pPr>
        <w:pStyle w:val="BodyText"/>
        <w:spacing w:before="11"/>
        <w:rPr>
          <w:sz w:val="19"/>
        </w:rPr>
      </w:pPr>
    </w:p>
    <w:p>
      <w:pPr>
        <w:pStyle w:val="BodyText"/>
        <w:ind w:left="118" w:right="117" w:firstLine="288"/>
        <w:jc w:val="both"/>
      </w:pPr>
      <w:r>
        <w:rP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15-06-2018</w:t>
      </w:r>
    </w:p>
    <w:p>
      <w:pPr>
        <w:pStyle w:val="BodyText"/>
        <w:spacing w:before="1"/>
        <w:rPr>
          <w:rFonts w:ascii="Times New Roman"/>
          <w:i/>
        </w:rPr>
      </w:pPr>
    </w:p>
    <w:p>
      <w:pPr>
        <w:pStyle w:val="BodyText"/>
        <w:spacing w:before="1"/>
        <w:ind w:left="118" w:right="118" w:firstLine="288"/>
        <w:jc w:val="both"/>
      </w:pPr>
      <w:r>
        <w:rPr>
          <w:b/>
        </w:rPr>
        <w:t>OCTAVO. </w:t>
      </w:r>
      <w:r>
        <w:rPr/>
        <w:t>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BodyText"/>
      </w:pPr>
    </w:p>
    <w:p>
      <w:pPr>
        <w:pStyle w:val="BodyText"/>
        <w:spacing w:before="1"/>
        <w:ind w:left="118" w:right="127" w:firstLine="288"/>
        <w:jc w:val="both"/>
      </w:pPr>
      <w:r>
        <w:rPr/>
        <w:t>Los concesionarios que cuenten con varios títulos de concesión, además de poder transitar a la concesión única podrán consolidar sus títulos en una sola concesión.</w:t>
      </w:r>
    </w:p>
    <w:p>
      <w:pPr>
        <w:pStyle w:val="BodyText"/>
        <w:spacing w:before="10"/>
        <w:rPr>
          <w:sz w:val="19"/>
        </w:rPr>
      </w:pPr>
    </w:p>
    <w:p>
      <w:pPr>
        <w:pStyle w:val="BodyText"/>
        <w:ind w:left="118" w:right="120" w:firstLine="288"/>
        <w:jc w:val="both"/>
      </w:pPr>
      <w:r>
        <w:rPr>
          <w:b/>
        </w:rPr>
        <w:t>NOVENO. </w:t>
      </w:r>
      <w:r>
        <w:rPr/>
        <w:t>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w:t>
      </w:r>
      <w:r>
        <w:rPr>
          <w:spacing w:val="-12"/>
        </w:rPr>
        <w:t> </w:t>
      </w:r>
      <w:r>
        <w:rPr/>
        <w:t>requisitos:</w:t>
      </w:r>
    </w:p>
    <w:p>
      <w:pPr>
        <w:pStyle w:val="BodyText"/>
      </w:pPr>
    </w:p>
    <w:p>
      <w:pPr>
        <w:pStyle w:val="ListParagraph"/>
        <w:numPr>
          <w:ilvl w:val="0"/>
          <w:numId w:val="59"/>
        </w:numPr>
        <w:tabs>
          <w:tab w:pos="1198" w:val="left" w:leader="none"/>
          <w:tab w:pos="1199" w:val="left" w:leader="none"/>
        </w:tabs>
        <w:spacing w:line="242" w:lineRule="auto" w:before="0" w:after="0"/>
        <w:ind w:left="1198" w:right="123" w:hanging="792"/>
        <w:jc w:val="left"/>
        <w:rPr>
          <w:sz w:val="20"/>
        </w:rPr>
      </w:pPr>
      <w:r>
        <w:rPr>
          <w:sz w:val="20"/>
        </w:rPr>
        <w:t>Generen una reducción sectorial del Índice de Dominancia “ID”, siempre que el índice Hirschman-Herfindahl “IHH” no se incremente en más de doscientos</w:t>
      </w:r>
      <w:r>
        <w:rPr>
          <w:spacing w:val="-15"/>
          <w:sz w:val="20"/>
        </w:rPr>
        <w:t> </w:t>
      </w:r>
      <w:r>
        <w:rPr>
          <w:sz w:val="20"/>
        </w:rPr>
        <w:t>puntos;</w:t>
      </w:r>
    </w:p>
    <w:p>
      <w:pPr>
        <w:pStyle w:val="BodyText"/>
        <w:spacing w:before="6"/>
        <w:rPr>
          <w:sz w:val="19"/>
        </w:rPr>
      </w:pPr>
    </w:p>
    <w:p>
      <w:pPr>
        <w:pStyle w:val="ListParagraph"/>
        <w:numPr>
          <w:ilvl w:val="0"/>
          <w:numId w:val="59"/>
        </w:numPr>
        <w:tabs>
          <w:tab w:pos="1198" w:val="left" w:leader="none"/>
          <w:tab w:pos="1199" w:val="left" w:leader="none"/>
        </w:tabs>
        <w:spacing w:line="242" w:lineRule="auto" w:before="0" w:after="0"/>
        <w:ind w:left="1198" w:right="124" w:hanging="792"/>
        <w:jc w:val="left"/>
        <w:rPr>
          <w:sz w:val="20"/>
        </w:rPr>
      </w:pPr>
      <w:r>
        <w:rPr>
          <w:sz w:val="20"/>
        </w:rPr>
        <w:t>Tengan como resultado que el agente económico cuente con un porcentaje de participación sectorial menor al veinte por</w:t>
      </w:r>
      <w:r>
        <w:rPr>
          <w:spacing w:val="-3"/>
          <w:sz w:val="20"/>
        </w:rPr>
        <w:t> </w:t>
      </w:r>
      <w:r>
        <w:rPr>
          <w:sz w:val="20"/>
        </w:rPr>
        <w:t>ciento;</w:t>
      </w:r>
    </w:p>
    <w:p>
      <w:pPr>
        <w:pStyle w:val="BodyText"/>
        <w:spacing w:before="8"/>
        <w:rPr>
          <w:sz w:val="19"/>
        </w:rPr>
      </w:pPr>
    </w:p>
    <w:p>
      <w:pPr>
        <w:pStyle w:val="ListParagraph"/>
        <w:numPr>
          <w:ilvl w:val="0"/>
          <w:numId w:val="59"/>
        </w:numPr>
        <w:tabs>
          <w:tab w:pos="1198" w:val="left" w:leader="none"/>
          <w:tab w:pos="1199" w:val="left" w:leader="none"/>
        </w:tabs>
        <w:spacing w:line="242" w:lineRule="auto" w:before="0" w:after="0"/>
        <w:ind w:left="1198" w:right="116" w:hanging="792"/>
        <w:jc w:val="left"/>
        <w:rPr>
          <w:sz w:val="20"/>
        </w:rPr>
      </w:pPr>
      <w:r>
        <w:rPr>
          <w:sz w:val="20"/>
        </w:rPr>
        <w:t>Que en dicha concentración no participe el agente económico preponderante en el sector en el que se lleve a cabo la concentración,</w:t>
      </w:r>
      <w:r>
        <w:rPr>
          <w:spacing w:val="-2"/>
          <w:sz w:val="20"/>
        </w:rPr>
        <w:t> </w:t>
      </w:r>
      <w:r>
        <w:rPr>
          <w:sz w:val="20"/>
        </w:rPr>
        <w:t>y</w:t>
      </w:r>
    </w:p>
    <w:p>
      <w:pPr>
        <w:pStyle w:val="BodyText"/>
        <w:spacing w:before="6"/>
        <w:rPr>
          <w:sz w:val="19"/>
        </w:rPr>
      </w:pPr>
    </w:p>
    <w:p>
      <w:pPr>
        <w:pStyle w:val="ListParagraph"/>
        <w:numPr>
          <w:ilvl w:val="0"/>
          <w:numId w:val="59"/>
        </w:numPr>
        <w:tabs>
          <w:tab w:pos="1198" w:val="left" w:leader="none"/>
          <w:tab w:pos="1199" w:val="left" w:leader="none"/>
        </w:tabs>
        <w:spacing w:line="242" w:lineRule="auto" w:before="1" w:after="0"/>
        <w:ind w:left="1198" w:right="126" w:hanging="792"/>
        <w:jc w:val="left"/>
        <w:rPr>
          <w:sz w:val="20"/>
        </w:rPr>
      </w:pPr>
      <w:r>
        <w:rPr>
          <w:sz w:val="20"/>
        </w:rPr>
        <w:t>No tengan como efecto disminuir, dañar o impedir la libre competencia y concurrencia, en el sector que</w:t>
      </w:r>
      <w:r>
        <w:rPr>
          <w:spacing w:val="-4"/>
          <w:sz w:val="20"/>
        </w:rPr>
        <w:t> </w:t>
      </w:r>
      <w:r>
        <w:rPr>
          <w:sz w:val="20"/>
        </w:rPr>
        <w:t>corresponda.</w:t>
      </w:r>
    </w:p>
    <w:p>
      <w:pPr>
        <w:pStyle w:val="BodyText"/>
        <w:spacing w:before="10"/>
        <w:rPr>
          <w:sz w:val="19"/>
        </w:rPr>
      </w:pPr>
    </w:p>
    <w:p>
      <w:pPr>
        <w:pStyle w:val="BodyText"/>
        <w:ind w:left="118" w:right="115" w:firstLine="288"/>
        <w:jc w:val="both"/>
      </w:pPr>
      <w:r>
        <w:rPr/>
        <w:t>Por Índice Hirschman-Herfindahl “IHH” se entiende la suma de los cuadrados de las participaciones de cada agente económico (IHH=</w:t>
      </w:r>
      <w:r>
        <w:rPr>
          <w:rFonts w:ascii="Symbol" w:hAnsi="Symbol"/>
        </w:rPr>
        <w:t></w:t>
      </w:r>
      <w:r>
        <w:rPr/>
        <w:t>i qi2), en el sector que corresponda, medida para el caso del sector de las telecomunicaciones con base en el indicador de número de suscriptores y usuarios de servicios de telecomunicaciones, y para el sector de la radiodifusión con base en audiencia. Este índice puede tomar valores entre cero y diez mil.</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16" w:firstLine="288"/>
        <w:jc w:val="both"/>
      </w:pPr>
      <w:r>
        <w:rPr/>
        <w:t>Para calcular el Índice de Dominancia “ID”, se determinará primero la contribución porcentual hi de cada agente económico al índice IHH definido en el párrafo anterior (hi = 100xqi2/IHH). Después se calculará el valor de ID aplicando la fórmula del Hirschman-Herfindahl, pero utilizando ahora las contribuciones hi en vez de las participaciones qi (es decir, ID=</w:t>
      </w:r>
      <w:r>
        <w:rPr>
          <w:rFonts w:ascii="Symbol" w:hAnsi="Symbol"/>
        </w:rPr>
        <w:t></w:t>
      </w:r>
      <w:r>
        <w:rPr/>
        <w:t>i hi2). Este índice también varía entre cero y diez mil.</w:t>
      </w:r>
    </w:p>
    <w:p>
      <w:pPr>
        <w:pStyle w:val="BodyText"/>
      </w:pPr>
    </w:p>
    <w:p>
      <w:pPr>
        <w:pStyle w:val="BodyText"/>
        <w:ind w:left="118" w:right="118" w:firstLine="288"/>
        <w:jc w:val="both"/>
      </w:pPr>
      <w:r>
        <w:rP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w:t>
      </w:r>
      <w:r>
        <w:rPr>
          <w:spacing w:val="-22"/>
        </w:rPr>
        <w:t> </w:t>
      </w:r>
      <w:r>
        <w:rPr/>
        <w:t>anteriores.</w:t>
      </w:r>
    </w:p>
    <w:p>
      <w:pPr>
        <w:pStyle w:val="BodyText"/>
        <w:spacing w:before="11"/>
        <w:rPr>
          <w:sz w:val="19"/>
        </w:rPr>
      </w:pPr>
    </w:p>
    <w:p>
      <w:pPr>
        <w:pStyle w:val="BodyText"/>
        <w:ind w:left="118" w:right="117" w:firstLine="288"/>
        <w:jc w:val="both"/>
      </w:pPr>
      <w:r>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BodyText"/>
        <w:spacing w:before="1"/>
      </w:pPr>
    </w:p>
    <w:p>
      <w:pPr>
        <w:pStyle w:val="BodyText"/>
        <w:spacing w:before="1"/>
        <w:ind w:left="118" w:right="127" w:firstLine="288"/>
        <w:jc w:val="both"/>
      </w:pPr>
      <w:r>
        <w:rPr/>
        <w:t>Las medidas que imponga el Instituto se extinguirán una vez que se autorice a los agentes económicos preponderantes la prestación de servicios</w:t>
      </w:r>
      <w:r>
        <w:rPr>
          <w:spacing w:val="-1"/>
        </w:rPr>
        <w:t> </w:t>
      </w:r>
      <w:r>
        <w:rPr/>
        <w:t>adicionales.</w:t>
      </w:r>
    </w:p>
    <w:p>
      <w:pPr>
        <w:pStyle w:val="BodyText"/>
        <w:spacing w:before="7"/>
        <w:rPr>
          <w:sz w:val="19"/>
        </w:rPr>
      </w:pPr>
    </w:p>
    <w:p>
      <w:pPr>
        <w:pStyle w:val="BodyText"/>
        <w:spacing w:before="1"/>
        <w:ind w:left="118" w:right="115" w:firstLine="288"/>
        <w:jc w:val="both"/>
      </w:pPr>
      <w:r>
        <w:rPr>
          <w:b/>
        </w:rPr>
        <w:t>DÉCIMO. </w:t>
      </w:r>
      <w:r>
        <w:rPr/>
        <w:t>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w:t>
      </w:r>
      <w:r>
        <w:rPr>
          <w:spacing w:val="-9"/>
        </w:rPr>
        <w:t> </w:t>
      </w:r>
      <w:r>
        <w:rPr/>
        <w:t>siguiente:</w:t>
      </w:r>
    </w:p>
    <w:p>
      <w:pPr>
        <w:pStyle w:val="BodyText"/>
        <w:spacing w:before="2"/>
      </w:pPr>
    </w:p>
    <w:p>
      <w:pPr>
        <w:pStyle w:val="ListParagraph"/>
        <w:numPr>
          <w:ilvl w:val="1"/>
          <w:numId w:val="59"/>
        </w:numPr>
        <w:tabs>
          <w:tab w:pos="1198" w:val="left" w:leader="none"/>
          <w:tab w:pos="1199" w:val="left" w:leader="none"/>
        </w:tabs>
        <w:spacing w:line="240" w:lineRule="auto" w:before="0" w:after="0"/>
        <w:ind w:left="1198" w:right="123" w:hanging="792"/>
        <w:jc w:val="both"/>
        <w:rPr>
          <w:sz w:val="20"/>
        </w:rPr>
      </w:pPr>
      <w:r>
        <w:rPr>
          <w:sz w:val="20"/>
        </w:rPr>
        <w:t>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BodyText"/>
      </w:pPr>
    </w:p>
    <w:p>
      <w:pPr>
        <w:pStyle w:val="ListParagraph"/>
        <w:numPr>
          <w:ilvl w:val="1"/>
          <w:numId w:val="59"/>
        </w:numPr>
        <w:tabs>
          <w:tab w:pos="1198" w:val="left" w:leader="none"/>
          <w:tab w:pos="1199" w:val="left" w:leader="none"/>
        </w:tabs>
        <w:spacing w:line="240" w:lineRule="auto" w:before="0" w:after="0"/>
        <w:ind w:left="1198" w:right="121" w:hanging="792"/>
        <w:jc w:val="both"/>
        <w:rPr>
          <w:sz w:val="20"/>
        </w:rPr>
      </w:pPr>
      <w:r>
        <w:rPr>
          <w:sz w:val="20"/>
        </w:rPr>
        <w:t>El agente económico preponderante deberá estar en cumplimiento efectivo de las medidas a las que se refiere la fracción I anterior cuando menos durante dieciocho meses en forma continua;</w:t>
      </w:r>
    </w:p>
    <w:p>
      <w:pPr>
        <w:pStyle w:val="BodyText"/>
      </w:pPr>
    </w:p>
    <w:p>
      <w:pPr>
        <w:pStyle w:val="ListParagraph"/>
        <w:numPr>
          <w:ilvl w:val="1"/>
          <w:numId w:val="59"/>
        </w:numPr>
        <w:tabs>
          <w:tab w:pos="1199" w:val="left" w:leader="none"/>
        </w:tabs>
        <w:spacing w:line="240" w:lineRule="auto" w:before="0" w:after="0"/>
        <w:ind w:left="1198" w:right="120" w:hanging="792"/>
        <w:jc w:val="both"/>
        <w:rPr>
          <w:sz w:val="20"/>
        </w:rPr>
      </w:pPr>
      <w:r>
        <w:rPr>
          <w:sz w:val="20"/>
        </w:rPr>
        <w:t>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w:t>
      </w:r>
      <w:r>
        <w:rPr>
          <w:spacing w:val="3"/>
          <w:sz w:val="20"/>
        </w:rPr>
        <w:t> </w:t>
      </w:r>
      <w:r>
        <w:rPr>
          <w:sz w:val="20"/>
        </w:rPr>
        <w:t>y</w:t>
      </w:r>
    </w:p>
    <w:p>
      <w:pPr>
        <w:pStyle w:val="BodyText"/>
      </w:pPr>
    </w:p>
    <w:p>
      <w:pPr>
        <w:pStyle w:val="ListParagraph"/>
        <w:numPr>
          <w:ilvl w:val="1"/>
          <w:numId w:val="59"/>
        </w:numPr>
        <w:tabs>
          <w:tab w:pos="1199" w:val="left" w:leader="none"/>
        </w:tabs>
        <w:spacing w:line="242" w:lineRule="auto" w:before="0" w:after="0"/>
        <w:ind w:left="1198" w:right="125" w:hanging="792"/>
        <w:jc w:val="both"/>
        <w:rPr>
          <w:sz w:val="20"/>
        </w:rPr>
      </w:pPr>
      <w:r>
        <w:rPr>
          <w:sz w:val="20"/>
        </w:rPr>
        <w:t>Una vez que el concesionario haya obtenido la certificación de cumplimiento, podrá solicitar ante el Instituto Federal de Telecomunicaciones la autorización del servicio</w:t>
      </w:r>
      <w:r>
        <w:rPr>
          <w:spacing w:val="-16"/>
          <w:sz w:val="20"/>
        </w:rPr>
        <w:t> </w:t>
      </w:r>
      <w:r>
        <w:rPr>
          <w:sz w:val="20"/>
        </w:rPr>
        <w:t>adicional.</w:t>
      </w:r>
    </w:p>
    <w:p>
      <w:pPr>
        <w:pStyle w:val="BodyText"/>
        <w:spacing w:before="8"/>
        <w:rPr>
          <w:sz w:val="19"/>
        </w:rPr>
      </w:pPr>
    </w:p>
    <w:p>
      <w:pPr>
        <w:pStyle w:val="BodyText"/>
        <w:ind w:left="118" w:right="122" w:firstLine="288"/>
        <w:jc w:val="both"/>
      </w:pPr>
      <w:r>
        <w:rPr/>
        <w:t>Lo dispuesto en este artículo también será aplicable en caso de que los agentes y concesionarios respectivos opten por transitar a la concesión única.</w:t>
      </w:r>
    </w:p>
    <w:p>
      <w:pPr>
        <w:spacing w:after="0"/>
        <w:jc w:val="both"/>
        <w:sectPr>
          <w:pgSz w:w="12240" w:h="15840"/>
          <w:pgMar w:header="708" w:footer="712" w:top="1760" w:bottom="900" w:left="1300" w:right="1300"/>
        </w:sectPr>
      </w:pPr>
    </w:p>
    <w:p>
      <w:pPr>
        <w:pStyle w:val="BodyText"/>
      </w:pPr>
    </w:p>
    <w:p>
      <w:pPr>
        <w:pStyle w:val="BodyText"/>
        <w:spacing w:before="8"/>
        <w:rPr>
          <w:sz w:val="27"/>
        </w:rPr>
      </w:pPr>
    </w:p>
    <w:p>
      <w:pPr>
        <w:pStyle w:val="BodyText"/>
        <w:spacing w:before="93"/>
        <w:ind w:left="118" w:right="119" w:firstLine="288"/>
        <w:jc w:val="both"/>
      </w:pPr>
      <w:r>
        <w:rP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BodyText"/>
        <w:spacing w:before="8"/>
        <w:rPr>
          <w:sz w:val="19"/>
        </w:rPr>
      </w:pPr>
    </w:p>
    <w:p>
      <w:pPr>
        <w:pStyle w:val="BodyText"/>
        <w:spacing w:line="242" w:lineRule="auto"/>
        <w:ind w:left="118" w:right="122" w:firstLine="288"/>
        <w:jc w:val="both"/>
      </w:pPr>
      <w:r>
        <w:rPr>
          <w:b/>
        </w:rPr>
        <w:t>DÉCIMO PRIMERO. </w:t>
      </w:r>
      <w:r>
        <w:rPr/>
        <w:t>El trámite de la solicitud a que se refiere el artículo anterior se sujetará a lo siguiente:</w:t>
      </w:r>
    </w:p>
    <w:p>
      <w:pPr>
        <w:pStyle w:val="BodyText"/>
        <w:spacing w:before="9"/>
        <w:rPr>
          <w:sz w:val="19"/>
        </w:rPr>
      </w:pPr>
    </w:p>
    <w:p>
      <w:pPr>
        <w:pStyle w:val="ListParagraph"/>
        <w:numPr>
          <w:ilvl w:val="0"/>
          <w:numId w:val="60"/>
        </w:numPr>
        <w:tabs>
          <w:tab w:pos="1198" w:val="left" w:leader="none"/>
          <w:tab w:pos="1199" w:val="left" w:leader="none"/>
        </w:tabs>
        <w:spacing w:line="240" w:lineRule="auto" w:before="0" w:after="0"/>
        <w:ind w:left="1198" w:right="117" w:hanging="792"/>
        <w:jc w:val="both"/>
        <w:rPr>
          <w:sz w:val="20"/>
        </w:rPr>
      </w:pPr>
      <w:r>
        <w:rPr>
          <w:sz w:val="20"/>
        </w:rPr>
        <w:t>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w:t>
      </w:r>
      <w:r>
        <w:rPr>
          <w:spacing w:val="-8"/>
          <w:sz w:val="20"/>
        </w:rPr>
        <w:t> </w:t>
      </w:r>
      <w:r>
        <w:rPr>
          <w:sz w:val="20"/>
        </w:rPr>
        <w:t>2013;</w:t>
      </w:r>
    </w:p>
    <w:p>
      <w:pPr>
        <w:pStyle w:val="BodyText"/>
        <w:spacing w:before="10"/>
        <w:rPr>
          <w:sz w:val="19"/>
        </w:rPr>
      </w:pPr>
    </w:p>
    <w:p>
      <w:pPr>
        <w:pStyle w:val="ListParagraph"/>
        <w:numPr>
          <w:ilvl w:val="0"/>
          <w:numId w:val="60"/>
        </w:numPr>
        <w:tabs>
          <w:tab w:pos="1198" w:val="left" w:leader="none"/>
          <w:tab w:pos="1199" w:val="left" w:leader="none"/>
        </w:tabs>
        <w:spacing w:line="242" w:lineRule="auto" w:before="0" w:after="0"/>
        <w:ind w:left="1198" w:right="124" w:hanging="792"/>
        <w:jc w:val="both"/>
        <w:rPr>
          <w:sz w:val="20"/>
        </w:rPr>
      </w:pPr>
      <w:r>
        <w:rPr>
          <w:sz w:val="20"/>
        </w:rPr>
        <w:t>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BodyText"/>
        <w:spacing w:before="2"/>
        <w:rPr>
          <w:sz w:val="19"/>
        </w:rPr>
      </w:pPr>
    </w:p>
    <w:p>
      <w:pPr>
        <w:pStyle w:val="ListParagraph"/>
        <w:numPr>
          <w:ilvl w:val="0"/>
          <w:numId w:val="60"/>
        </w:numPr>
        <w:tabs>
          <w:tab w:pos="1199" w:val="left" w:leader="none"/>
        </w:tabs>
        <w:spacing w:line="242" w:lineRule="auto" w:before="0" w:after="0"/>
        <w:ind w:left="1198" w:right="118" w:hanging="792"/>
        <w:jc w:val="both"/>
        <w:rPr>
          <w:sz w:val="20"/>
        </w:rPr>
      </w:pPr>
      <w:r>
        <w:rPr>
          <w:sz w:val="20"/>
        </w:rPr>
        <w:t>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BodyText"/>
        <w:spacing w:before="5"/>
        <w:rPr>
          <w:sz w:val="19"/>
        </w:rPr>
      </w:pPr>
    </w:p>
    <w:p>
      <w:pPr>
        <w:pStyle w:val="BodyText"/>
        <w:ind w:left="1198" w:right="105"/>
      </w:pPr>
      <w:r>
        <w:rPr/>
        <w:t>Transcurrido el plazo señalado en el párrafo que antecede sin que el Instituto haya resuelto la solicitud correspondiente, la misma se entenderá en sentido negativo, y</w:t>
      </w:r>
    </w:p>
    <w:p>
      <w:pPr>
        <w:pStyle w:val="BodyText"/>
        <w:spacing w:before="10"/>
        <w:rPr>
          <w:sz w:val="19"/>
        </w:rPr>
      </w:pPr>
    </w:p>
    <w:p>
      <w:pPr>
        <w:pStyle w:val="ListParagraph"/>
        <w:numPr>
          <w:ilvl w:val="0"/>
          <w:numId w:val="60"/>
        </w:numPr>
        <w:tabs>
          <w:tab w:pos="1199" w:val="left" w:leader="none"/>
        </w:tabs>
        <w:spacing w:line="242" w:lineRule="auto" w:before="0" w:after="0"/>
        <w:ind w:left="1198" w:right="123" w:hanging="792"/>
        <w:jc w:val="both"/>
        <w:rPr>
          <w:sz w:val="20"/>
        </w:rPr>
      </w:pPr>
      <w:r>
        <w:rPr>
          <w:sz w:val="20"/>
        </w:rPr>
        <w:t>En el trámite de la solicitud, el Instituto Federal de Telecomunicaciones deberá asegurarse que el otorgamiento de la autorización no genera efectos adversos a la competencia y libre concurrencia.</w:t>
      </w:r>
    </w:p>
    <w:p>
      <w:pPr>
        <w:pStyle w:val="BodyText"/>
        <w:spacing w:before="6"/>
        <w:rPr>
          <w:sz w:val="19"/>
        </w:rPr>
      </w:pPr>
    </w:p>
    <w:p>
      <w:pPr>
        <w:pStyle w:val="BodyText"/>
        <w:spacing w:before="1"/>
        <w:ind w:left="118" w:right="125" w:firstLine="288"/>
        <w:jc w:val="both"/>
      </w:pPr>
      <w:r>
        <w:rPr/>
        <w:t>Se entenderá que se generan efectos adversos a la competencia y libre concurrencia, entre otros factores que considere el Instituto Federal de Telecomunicaciones, cuando:</w:t>
      </w:r>
    </w:p>
    <w:p>
      <w:pPr>
        <w:pStyle w:val="BodyText"/>
        <w:spacing w:before="10"/>
        <w:rPr>
          <w:sz w:val="19"/>
        </w:rPr>
      </w:pPr>
    </w:p>
    <w:p>
      <w:pPr>
        <w:pStyle w:val="ListParagraph"/>
        <w:numPr>
          <w:ilvl w:val="0"/>
          <w:numId w:val="61"/>
        </w:numPr>
        <w:tabs>
          <w:tab w:pos="705" w:val="left" w:leader="none"/>
        </w:tabs>
        <w:spacing w:line="240" w:lineRule="auto" w:before="0" w:after="0"/>
        <w:ind w:left="118" w:right="121" w:firstLine="288"/>
        <w:jc w:val="both"/>
        <w:rPr>
          <w:sz w:val="20"/>
        </w:rPr>
      </w:pPr>
      <w:r>
        <w:rPr>
          <w:sz w:val="20"/>
        </w:rPr>
        <w:t>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w:t>
      </w:r>
      <w:r>
        <w:rPr>
          <w:spacing w:val="-5"/>
          <w:sz w:val="20"/>
        </w:rPr>
        <w:t> </w:t>
      </w:r>
      <w:r>
        <w:rPr>
          <w:sz w:val="20"/>
        </w:rPr>
        <w:t>corresponda.</w:t>
      </w:r>
    </w:p>
    <w:p>
      <w:pPr>
        <w:pStyle w:val="BodyText"/>
        <w:spacing w:before="1"/>
      </w:pPr>
    </w:p>
    <w:p>
      <w:pPr>
        <w:pStyle w:val="ListParagraph"/>
        <w:numPr>
          <w:ilvl w:val="0"/>
          <w:numId w:val="61"/>
        </w:numPr>
        <w:tabs>
          <w:tab w:pos="647" w:val="left" w:leader="none"/>
        </w:tabs>
        <w:spacing w:line="240" w:lineRule="auto" w:before="0" w:after="0"/>
        <w:ind w:left="118" w:right="120" w:firstLine="288"/>
        <w:jc w:val="both"/>
        <w:rPr>
          <w:sz w:val="20"/>
        </w:rPr>
      </w:pPr>
      <w:r>
        <w:rPr>
          <w:sz w:val="20"/>
        </w:rPr>
        <w:t>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w:t>
      </w:r>
      <w:r>
        <w:rPr>
          <w:spacing w:val="-2"/>
          <w:sz w:val="20"/>
        </w:rPr>
        <w:t> </w:t>
      </w:r>
      <w:r>
        <w:rPr>
          <w:sz w:val="20"/>
        </w:rPr>
        <w:t>corresponda.</w:t>
      </w:r>
    </w:p>
    <w:p>
      <w:pPr>
        <w:spacing w:after="0" w:line="240" w:lineRule="auto"/>
        <w:jc w:val="both"/>
        <w:rPr>
          <w:sz w:val="20"/>
        </w:rPr>
        <w:sectPr>
          <w:pgSz w:w="12240" w:h="15840"/>
          <w:pgMar w:header="708" w:footer="712" w:top="1760" w:bottom="900" w:left="1300" w:right="1300"/>
        </w:sectPr>
      </w:pPr>
    </w:p>
    <w:p>
      <w:pPr>
        <w:pStyle w:val="BodyText"/>
      </w:pPr>
    </w:p>
    <w:p>
      <w:pPr>
        <w:pStyle w:val="BodyText"/>
        <w:spacing w:before="8"/>
        <w:rPr>
          <w:sz w:val="27"/>
        </w:rPr>
      </w:pPr>
    </w:p>
    <w:p>
      <w:pPr>
        <w:pStyle w:val="BodyText"/>
        <w:spacing w:before="93"/>
        <w:ind w:left="118" w:right="119" w:firstLine="288"/>
        <w:jc w:val="both"/>
      </w:pPr>
      <w:r>
        <w:rPr/>
        <w:t>Lo dispuesto en este artículo será aplicable en caso de que los agentes y concesionarios respectivos opten por transitar a la concesión única, y será independiente de las sanciones económicas que  procedan conforme a la Ley Federal de Telecomunicaciones y</w:t>
      </w:r>
      <w:r>
        <w:rPr>
          <w:spacing w:val="-9"/>
        </w:rPr>
        <w:t> </w:t>
      </w:r>
      <w:r>
        <w:rPr/>
        <w:t>Radiodifusión.</w:t>
      </w:r>
    </w:p>
    <w:p>
      <w:pPr>
        <w:pStyle w:val="BodyText"/>
        <w:spacing w:before="8"/>
        <w:rPr>
          <w:sz w:val="19"/>
        </w:rPr>
      </w:pPr>
    </w:p>
    <w:p>
      <w:pPr>
        <w:pStyle w:val="BodyText"/>
        <w:spacing w:line="242" w:lineRule="auto"/>
        <w:ind w:left="118" w:right="119" w:firstLine="288"/>
        <w:jc w:val="both"/>
      </w:pPr>
      <w:r>
        <w:rPr>
          <w:b/>
        </w:rPr>
        <w:t>DÉCIMO SEGUNDO. </w:t>
      </w:r>
      <w:r>
        <w:rPr/>
        <w:t>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BodyText"/>
        <w:spacing w:before="6"/>
        <w:rPr>
          <w:sz w:val="19"/>
        </w:rPr>
      </w:pPr>
    </w:p>
    <w:p>
      <w:pPr>
        <w:pStyle w:val="BodyText"/>
        <w:spacing w:before="1"/>
        <w:ind w:left="118" w:right="117" w:firstLine="288"/>
        <w:jc w:val="both"/>
      </w:pPr>
      <w:r>
        <w:rP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w:t>
      </w:r>
      <w:r>
        <w:rPr>
          <w:spacing w:val="-2"/>
        </w:rPr>
        <w:t> </w:t>
      </w:r>
      <w:r>
        <w:rPr/>
        <w:t>siguiente:</w:t>
      </w:r>
    </w:p>
    <w:p>
      <w:pPr>
        <w:pStyle w:val="BodyText"/>
        <w:spacing w:before="11"/>
        <w:rPr>
          <w:sz w:val="19"/>
        </w:rPr>
      </w:pPr>
    </w:p>
    <w:p>
      <w:pPr>
        <w:pStyle w:val="ListParagraph"/>
        <w:numPr>
          <w:ilvl w:val="1"/>
          <w:numId w:val="61"/>
        </w:numPr>
        <w:tabs>
          <w:tab w:pos="592" w:val="left" w:leader="none"/>
        </w:tabs>
        <w:spacing w:line="240" w:lineRule="auto" w:before="0" w:after="0"/>
        <w:ind w:left="118" w:right="119" w:firstLine="288"/>
        <w:jc w:val="both"/>
        <w:rPr>
          <w:sz w:val="20"/>
        </w:rPr>
      </w:pPr>
      <w:r>
        <w:rPr>
          <w:sz w:val="20"/>
        </w:rPr>
        <w:t>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w:t>
      </w:r>
      <w:r>
        <w:rPr>
          <w:spacing w:val="-5"/>
          <w:sz w:val="20"/>
        </w:rPr>
        <w:t> </w:t>
      </w:r>
      <w:r>
        <w:rPr>
          <w:sz w:val="20"/>
        </w:rPr>
        <w:t>propone;</w:t>
      </w:r>
    </w:p>
    <w:p>
      <w:pPr>
        <w:pStyle w:val="BodyText"/>
      </w:pPr>
    </w:p>
    <w:p>
      <w:pPr>
        <w:pStyle w:val="ListParagraph"/>
        <w:numPr>
          <w:ilvl w:val="1"/>
          <w:numId w:val="61"/>
        </w:numPr>
        <w:tabs>
          <w:tab w:pos="647" w:val="left" w:leader="none"/>
        </w:tabs>
        <w:spacing w:line="240" w:lineRule="auto" w:before="0" w:after="0"/>
        <w:ind w:left="118" w:right="116" w:firstLine="288"/>
        <w:jc w:val="both"/>
        <w:rPr>
          <w:sz w:val="20"/>
        </w:rPr>
      </w:pPr>
      <w:r>
        <w:rPr>
          <w:sz w:val="20"/>
        </w:rPr>
        <w:t>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w:t>
      </w:r>
      <w:r>
        <w:rPr>
          <w:spacing w:val="-4"/>
          <w:sz w:val="20"/>
        </w:rPr>
        <w:t> </w:t>
      </w:r>
      <w:r>
        <w:rPr>
          <w:sz w:val="20"/>
        </w:rPr>
        <w:t>artículo;</w:t>
      </w:r>
    </w:p>
    <w:p>
      <w:pPr>
        <w:pStyle w:val="BodyText"/>
        <w:spacing w:before="10"/>
        <w:rPr>
          <w:sz w:val="19"/>
        </w:rPr>
      </w:pPr>
    </w:p>
    <w:p>
      <w:pPr>
        <w:pStyle w:val="ListParagraph"/>
        <w:numPr>
          <w:ilvl w:val="1"/>
          <w:numId w:val="61"/>
        </w:numPr>
        <w:tabs>
          <w:tab w:pos="719" w:val="left" w:leader="none"/>
        </w:tabs>
        <w:spacing w:line="242" w:lineRule="auto" w:before="1" w:after="0"/>
        <w:ind w:left="118" w:right="123" w:firstLine="288"/>
        <w:jc w:val="both"/>
        <w:rPr>
          <w:sz w:val="20"/>
        </w:rPr>
      </w:pPr>
      <w:r>
        <w:rPr>
          <w:sz w:val="20"/>
        </w:rPr>
        <w:t>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w:t>
      </w:r>
      <w:r>
        <w:rPr>
          <w:spacing w:val="-1"/>
          <w:sz w:val="20"/>
        </w:rPr>
        <w:t> </w:t>
      </w:r>
      <w:r>
        <w:rPr>
          <w:sz w:val="20"/>
        </w:rPr>
        <w:t>una.</w:t>
      </w:r>
    </w:p>
    <w:p>
      <w:pPr>
        <w:pStyle w:val="BodyText"/>
        <w:spacing w:before="4"/>
        <w:rPr>
          <w:sz w:val="19"/>
        </w:rPr>
      </w:pPr>
    </w:p>
    <w:p>
      <w:pPr>
        <w:pStyle w:val="BodyText"/>
        <w:spacing w:before="1"/>
        <w:ind w:left="118" w:right="119" w:firstLine="288"/>
        <w:jc w:val="both"/>
      </w:pPr>
      <w:r>
        <w:rP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BodyText"/>
      </w:pPr>
    </w:p>
    <w:p>
      <w:pPr>
        <w:pStyle w:val="BodyText"/>
        <w:ind w:left="118" w:right="125" w:firstLine="288"/>
        <w:jc w:val="both"/>
      </w:pPr>
      <w:r>
        <w:rPr/>
        <w:t>El plan deberá tener como resultado que la participación en el sector que el agente preponderante disminuye, sea transferida a otro u otros agentes económicos distintos e independientes del agente</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2"/>
        <w:jc w:val="both"/>
      </w:pPr>
      <w:r>
        <w:rPr/>
        <w:t>económico preponderante. Al aprobar el plan, el Instituto Federal de Telecomunicaciones deberá asegurar la separación efectiva e independencia de esos agentes y deberá establecer los términos y condiciones necesarios para que esa situación quede debidamente</w:t>
      </w:r>
      <w:r>
        <w:rPr>
          <w:spacing w:val="-3"/>
        </w:rPr>
        <w:t> </w:t>
      </w:r>
      <w:r>
        <w:rPr/>
        <w:t>salvaguardada;</w:t>
      </w:r>
    </w:p>
    <w:p>
      <w:pPr>
        <w:pStyle w:val="BodyText"/>
        <w:spacing w:before="9"/>
        <w:rPr>
          <w:sz w:val="19"/>
        </w:rPr>
      </w:pPr>
    </w:p>
    <w:p>
      <w:pPr>
        <w:pStyle w:val="ListParagraph"/>
        <w:numPr>
          <w:ilvl w:val="1"/>
          <w:numId w:val="61"/>
        </w:numPr>
        <w:tabs>
          <w:tab w:pos="746" w:val="left" w:leader="none"/>
        </w:tabs>
        <w:spacing w:line="240" w:lineRule="auto" w:before="0" w:after="0"/>
        <w:ind w:left="118" w:right="120" w:firstLine="288"/>
        <w:jc w:val="both"/>
        <w:rPr>
          <w:sz w:val="20"/>
        </w:rPr>
      </w:pPr>
      <w:r>
        <w:rPr>
          <w:sz w:val="20"/>
        </w:rPr>
        <w:t>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w:t>
      </w:r>
      <w:r>
        <w:rPr>
          <w:spacing w:val="-3"/>
          <w:sz w:val="20"/>
        </w:rPr>
        <w:t> </w:t>
      </w:r>
      <w:r>
        <w:rPr>
          <w:sz w:val="20"/>
        </w:rPr>
        <w:t>artículo.</w:t>
      </w:r>
    </w:p>
    <w:p>
      <w:pPr>
        <w:pStyle w:val="BodyText"/>
        <w:spacing w:before="2"/>
      </w:pPr>
    </w:p>
    <w:p>
      <w:pPr>
        <w:pStyle w:val="BodyText"/>
        <w:ind w:left="118" w:right="116" w:firstLine="288"/>
        <w:jc w:val="both"/>
      </w:pPr>
      <w:r>
        <w:rP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w:t>
      </w:r>
      <w:r>
        <w:rPr>
          <w:spacing w:val="-1"/>
        </w:rPr>
        <w:t> </w:t>
      </w:r>
      <w:r>
        <w:rPr/>
        <w:t>Radiodifusión;</w:t>
      </w:r>
    </w:p>
    <w:p>
      <w:pPr>
        <w:pStyle w:val="BodyText"/>
        <w:spacing w:before="10"/>
        <w:rPr>
          <w:sz w:val="19"/>
        </w:rPr>
      </w:pPr>
    </w:p>
    <w:p>
      <w:pPr>
        <w:pStyle w:val="ListParagraph"/>
        <w:numPr>
          <w:ilvl w:val="1"/>
          <w:numId w:val="61"/>
        </w:numPr>
        <w:tabs>
          <w:tab w:pos="662" w:val="left" w:leader="none"/>
        </w:tabs>
        <w:spacing w:line="240" w:lineRule="auto" w:before="0" w:after="0"/>
        <w:ind w:left="118" w:right="116" w:firstLine="288"/>
        <w:jc w:val="both"/>
        <w:rPr>
          <w:sz w:val="20"/>
        </w:rPr>
      </w:pPr>
      <w:r>
        <w:rPr>
          <w:sz w:val="20"/>
        </w:rPr>
        <w:t>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w:t>
      </w:r>
      <w:r>
        <w:rPr>
          <w:spacing w:val="-11"/>
          <w:sz w:val="20"/>
        </w:rPr>
        <w:t> </w:t>
      </w:r>
      <w:r>
        <w:rPr>
          <w:sz w:val="20"/>
        </w:rPr>
        <w:t>justificadas;</w:t>
      </w:r>
    </w:p>
    <w:p>
      <w:pPr>
        <w:pStyle w:val="BodyText"/>
      </w:pPr>
    </w:p>
    <w:p>
      <w:pPr>
        <w:pStyle w:val="ListParagraph"/>
        <w:numPr>
          <w:ilvl w:val="1"/>
          <w:numId w:val="61"/>
        </w:numPr>
        <w:tabs>
          <w:tab w:pos="803" w:val="left" w:leader="none"/>
        </w:tabs>
        <w:spacing w:line="240" w:lineRule="auto" w:before="1" w:after="0"/>
        <w:ind w:left="118" w:right="115" w:firstLine="288"/>
        <w:jc w:val="both"/>
        <w:rPr>
          <w:sz w:val="20"/>
        </w:rPr>
      </w:pPr>
      <w:r>
        <w:rPr>
          <w:sz w:val="20"/>
        </w:rPr>
        <w:t>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w:t>
      </w:r>
      <w:r>
        <w:rPr>
          <w:spacing w:val="-25"/>
          <w:sz w:val="20"/>
        </w:rPr>
        <w:t> </w:t>
      </w:r>
      <w:r>
        <w:rPr>
          <w:sz w:val="20"/>
        </w:rPr>
        <w:t>artículo;</w:t>
      </w:r>
    </w:p>
    <w:p>
      <w:pPr>
        <w:pStyle w:val="BodyText"/>
      </w:pPr>
    </w:p>
    <w:p>
      <w:pPr>
        <w:pStyle w:val="ListParagraph"/>
        <w:numPr>
          <w:ilvl w:val="1"/>
          <w:numId w:val="61"/>
        </w:numPr>
        <w:tabs>
          <w:tab w:pos="767" w:val="left" w:leader="none"/>
        </w:tabs>
        <w:spacing w:line="240" w:lineRule="auto" w:before="1" w:after="0"/>
        <w:ind w:left="118" w:right="118" w:firstLine="288"/>
        <w:jc w:val="both"/>
        <w:rPr>
          <w:sz w:val="20"/>
        </w:rPr>
      </w:pPr>
      <w:r>
        <w:rPr>
          <w:sz w:val="20"/>
        </w:rPr>
        <w:t>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w:t>
      </w:r>
      <w:r>
        <w:rPr>
          <w:spacing w:val="-8"/>
          <w:sz w:val="20"/>
        </w:rPr>
        <w:t> </w:t>
      </w:r>
      <w:r>
        <w:rPr>
          <w:sz w:val="20"/>
        </w:rPr>
        <w:t>Económica.</w:t>
      </w:r>
    </w:p>
    <w:p>
      <w:pPr>
        <w:pStyle w:val="BodyText"/>
        <w:spacing w:before="2"/>
      </w:pPr>
    </w:p>
    <w:p>
      <w:pPr>
        <w:pStyle w:val="BodyText"/>
        <w:spacing w:before="1"/>
        <w:ind w:left="118" w:right="127" w:firstLine="288"/>
        <w:jc w:val="both"/>
      </w:pPr>
      <w:r>
        <w:rPr/>
        <w:t>Otorgada la certificación referida en el párrafo anterior, se aplicarán de manera general para todos los concesionarios los acuerdos de compensación de tráfico a que se refiere el párrafo primero del artículo 131 de la citada Ley;</w:t>
      </w:r>
    </w:p>
    <w:p>
      <w:pPr>
        <w:pStyle w:val="BodyText"/>
        <w:spacing w:before="8"/>
        <w:rPr>
          <w:sz w:val="19"/>
        </w:rPr>
      </w:pPr>
    </w:p>
    <w:p>
      <w:pPr>
        <w:pStyle w:val="ListParagraph"/>
        <w:numPr>
          <w:ilvl w:val="1"/>
          <w:numId w:val="61"/>
        </w:numPr>
        <w:tabs>
          <w:tab w:pos="830" w:val="left" w:leader="none"/>
        </w:tabs>
        <w:spacing w:line="240" w:lineRule="auto" w:before="0" w:after="0"/>
        <w:ind w:left="118" w:right="115" w:firstLine="288"/>
        <w:jc w:val="both"/>
        <w:rPr>
          <w:sz w:val="20"/>
        </w:rPr>
      </w:pPr>
      <w:r>
        <w:rPr>
          <w:sz w:val="20"/>
        </w:rPr>
        <w:t>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w:t>
      </w:r>
      <w:r>
        <w:rPr>
          <w:spacing w:val="-29"/>
          <w:sz w:val="20"/>
        </w:rPr>
        <w:t> </w:t>
      </w:r>
      <w:r>
        <w:rPr>
          <w:sz w:val="20"/>
        </w:rPr>
        <w:t>preponderante;</w:t>
      </w:r>
    </w:p>
    <w:p>
      <w:pPr>
        <w:spacing w:after="0" w:line="240" w:lineRule="auto"/>
        <w:jc w:val="both"/>
        <w:rPr>
          <w:sz w:val="20"/>
        </w:rPr>
        <w:sectPr>
          <w:pgSz w:w="12240" w:h="15840"/>
          <w:pgMar w:header="708" w:footer="712" w:top="1760" w:bottom="900" w:left="1300" w:right="1300"/>
        </w:sectPr>
      </w:pPr>
    </w:p>
    <w:p>
      <w:pPr>
        <w:pStyle w:val="BodyText"/>
        <w:spacing w:before="5"/>
        <w:rPr>
          <w:sz w:val="27"/>
        </w:rPr>
      </w:pPr>
    </w:p>
    <w:p>
      <w:pPr>
        <w:pStyle w:val="ListParagraph"/>
        <w:numPr>
          <w:ilvl w:val="1"/>
          <w:numId w:val="61"/>
        </w:numPr>
        <w:tabs>
          <w:tab w:pos="707" w:val="left" w:leader="none"/>
        </w:tabs>
        <w:spacing w:line="240" w:lineRule="auto" w:before="93" w:after="0"/>
        <w:ind w:left="118" w:right="119" w:firstLine="288"/>
        <w:jc w:val="both"/>
        <w:rPr>
          <w:sz w:val="20"/>
        </w:rPr>
      </w:pPr>
      <w:r>
        <w:rPr>
          <w:sz w:val="20"/>
        </w:rPr>
        <w:t>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w:t>
      </w:r>
      <w:r>
        <w:rPr>
          <w:spacing w:val="-13"/>
          <w:sz w:val="20"/>
        </w:rPr>
        <w:t> </w:t>
      </w:r>
      <w:r>
        <w:rPr>
          <w:sz w:val="20"/>
        </w:rPr>
        <w:t>Económica;</w:t>
      </w:r>
    </w:p>
    <w:p>
      <w:pPr>
        <w:pStyle w:val="BodyText"/>
      </w:pPr>
    </w:p>
    <w:p>
      <w:pPr>
        <w:pStyle w:val="ListParagraph"/>
        <w:numPr>
          <w:ilvl w:val="1"/>
          <w:numId w:val="61"/>
        </w:numPr>
        <w:tabs>
          <w:tab w:pos="676" w:val="left" w:leader="none"/>
        </w:tabs>
        <w:spacing w:line="242" w:lineRule="auto" w:before="1" w:after="0"/>
        <w:ind w:left="118" w:right="119" w:firstLine="288"/>
        <w:jc w:val="both"/>
        <w:rPr>
          <w:sz w:val="20"/>
        </w:rPr>
      </w:pPr>
      <w:r>
        <w:rPr>
          <w:sz w:val="20"/>
        </w:rPr>
        <w:t>Una vez que el Instituto Federal de Telecomunicaciones certifique que el plan aprobado ha sido ejecutado efectivamente, procederá a</w:t>
      </w:r>
      <w:r>
        <w:rPr>
          <w:spacing w:val="-1"/>
          <w:sz w:val="20"/>
        </w:rPr>
        <w:t> </w:t>
      </w:r>
      <w:r>
        <w:rPr>
          <w:sz w:val="20"/>
        </w:rPr>
        <w:t>extinguir:</w:t>
      </w:r>
    </w:p>
    <w:p>
      <w:pPr>
        <w:pStyle w:val="BodyText"/>
        <w:spacing w:before="5"/>
        <w:rPr>
          <w:sz w:val="19"/>
        </w:rPr>
      </w:pPr>
    </w:p>
    <w:p>
      <w:pPr>
        <w:pStyle w:val="ListParagraph"/>
        <w:numPr>
          <w:ilvl w:val="2"/>
          <w:numId w:val="61"/>
        </w:numPr>
        <w:tabs>
          <w:tab w:pos="638" w:val="left" w:leader="none"/>
        </w:tabs>
        <w:spacing w:line="242" w:lineRule="auto" w:before="0" w:after="0"/>
        <w:ind w:left="118" w:right="117" w:firstLine="288"/>
        <w:jc w:val="both"/>
        <w:rPr>
          <w:sz w:val="20"/>
        </w:rPr>
      </w:pPr>
      <w:r>
        <w:rPr>
          <w:sz w:val="20"/>
        </w:rPr>
        <w:t>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w:t>
      </w:r>
      <w:r>
        <w:rPr>
          <w:spacing w:val="-15"/>
          <w:sz w:val="20"/>
        </w:rPr>
        <w:t> </w:t>
      </w:r>
      <w:r>
        <w:rPr>
          <w:sz w:val="20"/>
        </w:rPr>
        <w:t>y</w:t>
      </w:r>
    </w:p>
    <w:p>
      <w:pPr>
        <w:pStyle w:val="BodyText"/>
        <w:spacing w:before="7"/>
        <w:rPr>
          <w:sz w:val="19"/>
        </w:rPr>
      </w:pPr>
    </w:p>
    <w:p>
      <w:pPr>
        <w:pStyle w:val="ListParagraph"/>
        <w:numPr>
          <w:ilvl w:val="2"/>
          <w:numId w:val="61"/>
        </w:numPr>
        <w:tabs>
          <w:tab w:pos="650" w:val="left" w:leader="none"/>
        </w:tabs>
        <w:spacing w:line="240" w:lineRule="auto" w:before="0" w:after="0"/>
        <w:ind w:left="118" w:right="126" w:firstLine="288"/>
        <w:jc w:val="both"/>
        <w:rPr>
          <w:sz w:val="20"/>
        </w:rPr>
      </w:pPr>
      <w:r>
        <w:rPr>
          <w:sz w:val="20"/>
        </w:rPr>
        <w:t>Las resoluciones mediante las cuales haya determinado al agente económico con poder sustancial en algún mercado, así como las medidas específicas que le haya</w:t>
      </w:r>
      <w:r>
        <w:rPr>
          <w:spacing w:val="-3"/>
          <w:sz w:val="20"/>
        </w:rPr>
        <w:t> </w:t>
      </w:r>
      <w:r>
        <w:rPr>
          <w:sz w:val="20"/>
        </w:rPr>
        <w:t>impuesto.</w:t>
      </w:r>
    </w:p>
    <w:p>
      <w:pPr>
        <w:pStyle w:val="BodyText"/>
        <w:spacing w:before="10"/>
        <w:rPr>
          <w:sz w:val="19"/>
        </w:rPr>
      </w:pPr>
    </w:p>
    <w:p>
      <w:pPr>
        <w:pStyle w:val="BodyText"/>
        <w:spacing w:before="1"/>
        <w:ind w:left="118" w:right="118" w:firstLine="288"/>
        <w:jc w:val="both"/>
      </w:pPr>
      <w:r>
        <w:rPr>
          <w:b/>
        </w:rPr>
        <w:t>DÉCIMO TERCERO. </w:t>
      </w:r>
      <w:r>
        <w:rPr/>
        <w:t>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BodyText"/>
        <w:spacing w:before="2"/>
      </w:pPr>
    </w:p>
    <w:p>
      <w:pPr>
        <w:pStyle w:val="BodyText"/>
        <w:ind w:left="118" w:right="116" w:firstLine="288"/>
        <w:jc w:val="both"/>
      </w:pPr>
      <w:r>
        <w:rP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BodyText"/>
        <w:spacing w:before="10"/>
        <w:rPr>
          <w:sz w:val="19"/>
        </w:rPr>
      </w:pPr>
    </w:p>
    <w:p>
      <w:pPr>
        <w:pStyle w:val="BodyText"/>
        <w:ind w:left="118" w:right="118" w:firstLine="288"/>
        <w:jc w:val="both"/>
      </w:pPr>
      <w:r>
        <w:rPr>
          <w:b/>
        </w:rPr>
        <w:t>DÉCIMO CUARTO. </w:t>
      </w:r>
      <w:r>
        <w:rPr/>
        <w:t>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BodyText"/>
      </w:pPr>
    </w:p>
    <w:p>
      <w:pPr>
        <w:pStyle w:val="BodyText"/>
        <w:spacing w:line="242" w:lineRule="auto"/>
        <w:ind w:left="118" w:right="117" w:firstLine="288"/>
        <w:jc w:val="both"/>
      </w:pPr>
      <w:r>
        <w:rPr>
          <w:b/>
        </w:rPr>
        <w:t>DÉCIMO QUINTO. </w:t>
      </w:r>
      <w:r>
        <w:rPr/>
        <w:t>El Instituto Federal de Telecomunicaciones deberá instalar su Consejo Consultivo dentro de los ciento ochentas días naturales siguientes a la entrada en vigor del presente Decreto.</w:t>
      </w:r>
    </w:p>
    <w:p>
      <w:pPr>
        <w:pStyle w:val="BodyText"/>
        <w:spacing w:before="6"/>
        <w:rPr>
          <w:sz w:val="19"/>
        </w:rPr>
      </w:pPr>
    </w:p>
    <w:p>
      <w:pPr>
        <w:pStyle w:val="BodyText"/>
        <w:spacing w:line="242" w:lineRule="auto"/>
        <w:ind w:left="118" w:right="118" w:firstLine="288"/>
        <w:jc w:val="both"/>
      </w:pPr>
      <w:r>
        <w:rPr>
          <w:b/>
        </w:rPr>
        <w:t>DÉCIMO SEXTO. </w:t>
      </w:r>
      <w:r>
        <w:rPr/>
        <w:t>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BodyText"/>
        <w:spacing w:before="2"/>
        <w:rPr>
          <w:sz w:val="19"/>
        </w:rPr>
      </w:pPr>
    </w:p>
    <w:p>
      <w:pPr>
        <w:pStyle w:val="BodyText"/>
        <w:spacing w:before="1"/>
        <w:ind w:left="118" w:right="115" w:firstLine="288"/>
        <w:jc w:val="both"/>
      </w:pPr>
      <w:r>
        <w:rPr>
          <w:b/>
        </w:rPr>
        <w:t>DÉCIMO SÉPTIMO. </w:t>
      </w:r>
      <w:r>
        <w:rPr/>
        <w:t>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w:t>
      </w:r>
      <w:r>
        <w:rPr>
          <w:spacing w:val="1"/>
        </w:rPr>
        <w:t> </w:t>
      </w:r>
      <w:r>
        <w:rPr/>
        <w:t>social.</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14" w:firstLine="288"/>
        <w:jc w:val="both"/>
      </w:pPr>
      <w:r>
        <w:rPr/>
        <w:t>Para transitar al régimen de concesión correspondiente, los permisionarios deberán presentar solicitud al Instituto Federal de Telecomunicaciones, quien resolverá lo conducente, en un plazo de noventa días hábiles.</w:t>
      </w:r>
    </w:p>
    <w:p>
      <w:pPr>
        <w:pStyle w:val="BodyText"/>
      </w:pPr>
    </w:p>
    <w:p>
      <w:pPr>
        <w:pStyle w:val="BodyText"/>
        <w:ind w:left="118" w:right="126" w:firstLine="288"/>
        <w:jc w:val="both"/>
      </w:pPr>
      <w:r>
        <w:rPr/>
        <w:t>En tanto se realiza la transición, dichos permisos se regirán por lo dispuesto en la Ley Federal de Telecomunicaciones y Radiodifusión para las concesiones de uso público o social, según sea el caso.</w:t>
      </w:r>
    </w:p>
    <w:p>
      <w:pPr>
        <w:pStyle w:val="BodyText"/>
        <w:spacing w:before="1"/>
      </w:pPr>
    </w:p>
    <w:p>
      <w:pPr>
        <w:pStyle w:val="BodyText"/>
        <w:ind w:left="406"/>
      </w:pPr>
      <w:r>
        <w:rPr/>
        <w:t>En caso de no cumplir con el presente artículo, los permisos concluirán su vigencia.</w:t>
      </w:r>
    </w:p>
    <w:p>
      <w:pPr>
        <w:pStyle w:val="BodyText"/>
        <w:spacing w:before="7"/>
        <w:rPr>
          <w:sz w:val="19"/>
        </w:rPr>
      </w:pPr>
    </w:p>
    <w:p>
      <w:pPr>
        <w:pStyle w:val="BodyText"/>
        <w:spacing w:before="1"/>
        <w:ind w:left="118" w:right="111" w:firstLine="288"/>
        <w:jc w:val="both"/>
      </w:pPr>
      <w:r>
        <w:rPr>
          <w:b/>
        </w:rPr>
        <w:t>DÉCIMO OCTAVO. </w:t>
      </w:r>
      <w:r>
        <w:rPr/>
        <w:t>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w:t>
      </w:r>
      <w:r>
        <w:rPr>
          <w:spacing w:val="-3"/>
        </w:rPr>
        <w:t> </w:t>
      </w:r>
      <w:r>
        <w:rPr/>
        <w:t>servicios.</w:t>
      </w:r>
    </w:p>
    <w:p>
      <w:pPr>
        <w:pStyle w:val="BodyText"/>
        <w:spacing w:before="2"/>
      </w:pPr>
    </w:p>
    <w:p>
      <w:pPr>
        <w:pStyle w:val="BodyText"/>
        <w:ind w:left="406"/>
      </w:pPr>
      <w:r>
        <w:rPr>
          <w:b/>
        </w:rPr>
        <w:t>DÉCIMO NOVENO. </w:t>
      </w:r>
      <w:r>
        <w:rPr/>
        <w:t>La transición digital terrestre culminará el 31 de diciembre de 2015.</w:t>
      </w:r>
    </w:p>
    <w:p>
      <w:pPr>
        <w:pStyle w:val="BodyText"/>
        <w:spacing w:before="1"/>
      </w:pPr>
    </w:p>
    <w:p>
      <w:pPr>
        <w:pStyle w:val="BodyText"/>
        <w:ind w:left="118" w:right="119" w:firstLine="288"/>
        <w:jc w:val="both"/>
      </w:pPr>
      <w:r>
        <w:rP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w:t>
      </w:r>
      <w:r>
        <w:rPr>
          <w:spacing w:val="-26"/>
        </w:rPr>
        <w:t> </w:t>
      </w:r>
      <w:r>
        <w:rPr/>
        <w:t>2013.</w:t>
      </w:r>
    </w:p>
    <w:p>
      <w:pPr>
        <w:pStyle w:val="BodyText"/>
        <w:spacing w:before="1"/>
      </w:pPr>
    </w:p>
    <w:p>
      <w:pPr>
        <w:pStyle w:val="BodyText"/>
        <w:ind w:left="118" w:right="114" w:firstLine="288"/>
        <w:jc w:val="both"/>
      </w:pPr>
      <w:r>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BodyText"/>
      </w:pPr>
    </w:p>
    <w:p>
      <w:pPr>
        <w:pStyle w:val="BodyText"/>
        <w:ind w:left="118" w:right="116" w:firstLine="288"/>
        <w:jc w:val="both"/>
      </w:pPr>
      <w:r>
        <w:rP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BodyText"/>
      </w:pPr>
    </w:p>
    <w:p>
      <w:pPr>
        <w:pStyle w:val="BodyText"/>
        <w:ind w:left="118" w:right="122" w:firstLine="288"/>
        <w:jc w:val="both"/>
      </w:pPr>
      <w:r>
        <w:rP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BodyText"/>
      </w:pPr>
    </w:p>
    <w:p>
      <w:pPr>
        <w:pStyle w:val="BodyText"/>
        <w:ind w:left="118" w:right="115" w:firstLine="288"/>
        <w:jc w:val="both"/>
      </w:pPr>
      <w:r>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BodyText"/>
        <w:spacing w:before="2"/>
      </w:pPr>
    </w:p>
    <w:p>
      <w:pPr>
        <w:pStyle w:val="BodyText"/>
        <w:ind w:left="118" w:right="116" w:firstLine="288"/>
        <w:jc w:val="both"/>
      </w:pPr>
      <w:r>
        <w:rP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w:t>
      </w:r>
      <w:r>
        <w:rPr>
          <w:spacing w:val="44"/>
        </w:rPr>
        <w:t> </w:t>
      </w:r>
      <w:r>
        <w:rPr/>
        <w:t>de</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3"/>
        <w:jc w:val="both"/>
      </w:pPr>
      <w:r>
        <w:rPr/>
        <w:t>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18-12-2015</w:t>
      </w:r>
    </w:p>
    <w:p>
      <w:pPr>
        <w:pStyle w:val="BodyText"/>
        <w:spacing w:before="3"/>
        <w:rPr>
          <w:rFonts w:ascii="Times New Roman"/>
          <w:i/>
        </w:rPr>
      </w:pPr>
    </w:p>
    <w:p>
      <w:pPr>
        <w:pStyle w:val="BodyText"/>
        <w:spacing w:before="1"/>
        <w:ind w:left="118" w:right="115" w:firstLine="288"/>
        <w:jc w:val="both"/>
      </w:pPr>
      <w:r>
        <w:rP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18-12-2015</w:t>
      </w:r>
    </w:p>
    <w:p>
      <w:pPr>
        <w:pStyle w:val="BodyText"/>
        <w:spacing w:before="1"/>
        <w:rPr>
          <w:rFonts w:ascii="Times New Roman"/>
          <w:i/>
        </w:rPr>
      </w:pPr>
    </w:p>
    <w:p>
      <w:pPr>
        <w:pStyle w:val="BodyText"/>
        <w:ind w:left="118" w:right="124" w:firstLine="288"/>
        <w:jc w:val="both"/>
      </w:pPr>
      <w:r>
        <w:rPr/>
        <w:t>Se derogan las disposiciones legales, administrativas o reglamentarias en lo que se opongan al presente transitorio.</w:t>
      </w:r>
    </w:p>
    <w:p>
      <w:pPr>
        <w:pStyle w:val="BodyText"/>
        <w:spacing w:before="10"/>
        <w:rPr>
          <w:sz w:val="19"/>
        </w:rPr>
      </w:pPr>
    </w:p>
    <w:p>
      <w:pPr>
        <w:pStyle w:val="BodyText"/>
        <w:ind w:left="118" w:right="116" w:firstLine="288"/>
        <w:jc w:val="both"/>
      </w:pPr>
      <w:r>
        <w:rPr>
          <w:b/>
        </w:rPr>
        <w:t>VIGÉSIMO. </w:t>
      </w:r>
      <w:r>
        <w:rPr/>
        <w:t>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w:t>
      </w:r>
      <w:r>
        <w:rPr>
          <w:spacing w:val="-25"/>
        </w:rPr>
        <w:t> </w:t>
      </w:r>
      <w:r>
        <w:rPr/>
        <w:t>2013.</w:t>
      </w:r>
    </w:p>
    <w:p>
      <w:pPr>
        <w:pStyle w:val="BodyText"/>
        <w:spacing w:before="2"/>
      </w:pPr>
    </w:p>
    <w:p>
      <w:pPr>
        <w:pStyle w:val="BodyText"/>
        <w:spacing w:before="1"/>
        <w:ind w:left="118" w:right="120" w:firstLine="288"/>
        <w:jc w:val="both"/>
      </w:pPr>
      <w:r>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w:t>
      </w:r>
      <w:r>
        <w:rPr>
          <w:spacing w:val="-2"/>
        </w:rPr>
        <w:t> </w:t>
      </w:r>
      <w:r>
        <w:rPr/>
        <w:t>artículo.</w:t>
      </w:r>
    </w:p>
    <w:p>
      <w:pPr>
        <w:pStyle w:val="BodyText"/>
        <w:spacing w:before="9"/>
        <w:rPr>
          <w:sz w:val="19"/>
        </w:rPr>
      </w:pPr>
    </w:p>
    <w:p>
      <w:pPr>
        <w:pStyle w:val="BodyText"/>
        <w:ind w:left="118" w:right="116" w:firstLine="288"/>
        <w:jc w:val="both"/>
      </w:pPr>
      <w:r>
        <w:rPr>
          <w:b/>
        </w:rPr>
        <w:t>VIGÉSIMO PRIMERO. </w:t>
      </w:r>
      <w:r>
        <w:rPr/>
        <w:t>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BodyText"/>
        <w:spacing w:before="1"/>
      </w:pPr>
    </w:p>
    <w:p>
      <w:pPr>
        <w:pStyle w:val="BodyText"/>
        <w:ind w:left="118" w:right="124" w:firstLine="288"/>
        <w:jc w:val="both"/>
      </w:pPr>
      <w:r>
        <w:rPr>
          <w:b/>
        </w:rPr>
        <w:t>VIGÉSIMO SEGUNDO. </w:t>
      </w:r>
      <w:r>
        <w:rPr/>
        <w:t>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BodyText"/>
      </w:pPr>
    </w:p>
    <w:p>
      <w:pPr>
        <w:pStyle w:val="BodyText"/>
        <w:spacing w:line="242" w:lineRule="auto"/>
        <w:ind w:left="118" w:right="120" w:firstLine="288"/>
        <w:jc w:val="both"/>
      </w:pPr>
      <w:r>
        <w:rPr>
          <w:b/>
        </w:rPr>
        <w:t>VIGÉSIMO TERCERO. </w:t>
      </w:r>
      <w:r>
        <w:rPr/>
        <w:t>El impacto presupuestario que se genere con motivo de la entrada en vigor</w:t>
      </w:r>
      <w:r>
        <w:rPr>
          <w:spacing w:val="-21"/>
        </w:rPr>
        <w:t> </w:t>
      </w:r>
      <w:r>
        <w:rPr/>
        <w:t>del presente Decreto en materia de servicios personales, así como el establecimiento de nuevas atribuciones</w:t>
      </w:r>
    </w:p>
    <w:p>
      <w:pPr>
        <w:spacing w:after="0" w:line="242" w:lineRule="auto"/>
        <w:jc w:val="both"/>
        <w:sectPr>
          <w:pgSz w:w="12240" w:h="15840"/>
          <w:pgMar w:header="708" w:footer="712" w:top="1760" w:bottom="900" w:left="1300" w:right="1300"/>
        </w:sectPr>
      </w:pPr>
    </w:p>
    <w:p>
      <w:pPr>
        <w:pStyle w:val="BodyText"/>
        <w:spacing w:before="8"/>
        <w:rPr>
          <w:sz w:val="27"/>
        </w:rPr>
      </w:pPr>
    </w:p>
    <w:p>
      <w:pPr>
        <w:pStyle w:val="BodyText"/>
        <w:spacing w:before="92"/>
        <w:ind w:left="118" w:right="338"/>
      </w:pPr>
      <w:r>
        <w:rPr/>
        <w:t>y actividades a cargo del Instituto Federal de Telecomunicaciones, se cubrirá con cargo al presupuesto aprobado anualmente por la Cámara de Diputados a dicho organismo.</w:t>
      </w:r>
    </w:p>
    <w:p>
      <w:pPr>
        <w:pStyle w:val="BodyText"/>
        <w:spacing w:before="11"/>
        <w:rPr>
          <w:sz w:val="19"/>
        </w:rPr>
      </w:pPr>
    </w:p>
    <w:p>
      <w:pPr>
        <w:pStyle w:val="BodyText"/>
        <w:ind w:left="118" w:right="116" w:firstLine="288"/>
        <w:jc w:val="both"/>
      </w:pPr>
      <w:r>
        <w:rPr>
          <w:b/>
        </w:rPr>
        <w:t>VIGÉSIMO CUARTO. </w:t>
      </w:r>
      <w:r>
        <w:rPr/>
        <w:t>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BodyText"/>
        <w:spacing w:before="9"/>
        <w:rPr>
          <w:sz w:val="19"/>
        </w:rPr>
      </w:pPr>
    </w:p>
    <w:p>
      <w:pPr>
        <w:pStyle w:val="BodyText"/>
        <w:spacing w:line="242" w:lineRule="auto"/>
        <w:ind w:left="118" w:right="116" w:firstLine="288"/>
        <w:jc w:val="both"/>
      </w:pPr>
      <w:r>
        <w:rPr>
          <w:b/>
        </w:rPr>
        <w:t>VIGÉSIMO QUINTO. </w:t>
      </w:r>
      <w:r>
        <w:rPr/>
        <w:t>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w:t>
      </w:r>
      <w:r>
        <w:rPr>
          <w:spacing w:val="-1"/>
        </w:rPr>
        <w:t> </w:t>
      </w:r>
      <w:r>
        <w:rPr/>
        <w:t>nacional.</w:t>
      </w:r>
    </w:p>
    <w:p>
      <w:pPr>
        <w:pStyle w:val="BodyText"/>
        <w:spacing w:before="3"/>
        <w:rPr>
          <w:sz w:val="19"/>
        </w:rPr>
      </w:pPr>
    </w:p>
    <w:p>
      <w:pPr>
        <w:pStyle w:val="BodyText"/>
        <w:spacing w:before="1"/>
        <w:ind w:left="118" w:right="118" w:firstLine="288"/>
        <w:jc w:val="both"/>
      </w:pPr>
      <w:r>
        <w:rP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BodyText"/>
        <w:spacing w:before="11"/>
        <w:rPr>
          <w:sz w:val="19"/>
        </w:rPr>
      </w:pPr>
    </w:p>
    <w:p>
      <w:pPr>
        <w:pStyle w:val="BodyText"/>
        <w:ind w:left="118" w:right="120" w:firstLine="288"/>
        <w:jc w:val="both"/>
      </w:pPr>
      <w:r>
        <w:rP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BodyText"/>
        <w:spacing w:before="1"/>
      </w:pPr>
    </w:p>
    <w:p>
      <w:pPr>
        <w:pStyle w:val="BodyText"/>
        <w:ind w:left="118" w:right="123" w:firstLine="288"/>
        <w:jc w:val="both"/>
      </w:pPr>
      <w:r>
        <w:rPr/>
        <w:t>Las resoluciones administrativas que se hubieren emitido quedarán sin efectos en lo que se opongan a lo previsto en el presente</w:t>
      </w:r>
      <w:r>
        <w:rPr>
          <w:spacing w:val="2"/>
        </w:rPr>
        <w:t> </w:t>
      </w:r>
      <w:r>
        <w:rPr/>
        <w:t>transitorio.</w:t>
      </w:r>
    </w:p>
    <w:p>
      <w:pPr>
        <w:pStyle w:val="BodyText"/>
        <w:spacing w:before="11"/>
        <w:rPr>
          <w:sz w:val="19"/>
        </w:rPr>
      </w:pPr>
    </w:p>
    <w:p>
      <w:pPr>
        <w:pStyle w:val="BodyText"/>
        <w:ind w:left="118" w:right="120" w:firstLine="288"/>
        <w:jc w:val="both"/>
      </w:pPr>
      <w:r>
        <w:rPr/>
        <w:t>Los concesionarios mantendrán la numeración que les haya sido asignada a fin de utilizarla para servicios de red inteligente en sus modalidades de cobro revertido y otros servicios especiales, tales como números</w:t>
      </w:r>
      <w:r>
        <w:rPr>
          <w:spacing w:val="-1"/>
        </w:rPr>
        <w:t> </w:t>
      </w:r>
      <w:r>
        <w:rPr/>
        <w:t>900.</w:t>
      </w:r>
    </w:p>
    <w:p>
      <w:pPr>
        <w:pStyle w:val="BodyText"/>
        <w:spacing w:before="8"/>
        <w:rPr>
          <w:sz w:val="19"/>
        </w:rPr>
      </w:pPr>
    </w:p>
    <w:p>
      <w:pPr>
        <w:pStyle w:val="BodyText"/>
        <w:spacing w:line="242" w:lineRule="auto" w:before="1"/>
        <w:ind w:left="118" w:right="114" w:firstLine="288"/>
        <w:jc w:val="both"/>
      </w:pPr>
      <w:r>
        <w:rPr>
          <w:b/>
        </w:rPr>
        <w:t>VIGÉSIMO SEXTO. </w:t>
      </w:r>
      <w:r>
        <w:rPr/>
        <w:t>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BodyText"/>
        <w:spacing w:before="6"/>
        <w:rPr>
          <w:sz w:val="19"/>
        </w:rPr>
      </w:pPr>
    </w:p>
    <w:p>
      <w:pPr>
        <w:pStyle w:val="BodyText"/>
        <w:ind w:left="118" w:right="123" w:firstLine="288"/>
        <w:jc w:val="both"/>
      </w:pPr>
      <w:r>
        <w:rPr/>
        <w:t>El Senado o, en su caso, la Comisión Permanente, deberá designar al Presidente del Sistema dentro de los treinta días naturales siguientes a aquél en que reciba la propuesta del Ejecutivo Federal.</w:t>
      </w:r>
    </w:p>
    <w:p>
      <w:pPr>
        <w:pStyle w:val="BodyText"/>
        <w:spacing w:before="8"/>
        <w:rPr>
          <w:sz w:val="19"/>
        </w:rPr>
      </w:pPr>
    </w:p>
    <w:p>
      <w:pPr>
        <w:pStyle w:val="BodyText"/>
        <w:spacing w:line="242" w:lineRule="auto"/>
        <w:ind w:left="118" w:right="123" w:firstLine="288"/>
        <w:jc w:val="both"/>
      </w:pPr>
      <w:r>
        <w:rPr>
          <w:b/>
        </w:rPr>
        <w:t>VIGÉSIMO SÉPTIMO. </w:t>
      </w:r>
      <w:r>
        <w:rPr/>
        <w:t>Los representantes de las Secretarías de Estado que integren la Junta de Gobierno del Sistema Público del Estado Mexicano deberán ser designados dentro de los sesenta días naturales siguientes a la entrada en vigor del presente Decreto.</w:t>
      </w:r>
    </w:p>
    <w:p>
      <w:pPr>
        <w:pStyle w:val="BodyText"/>
        <w:spacing w:before="5"/>
        <w:rPr>
          <w:sz w:val="19"/>
        </w:rPr>
      </w:pPr>
    </w:p>
    <w:p>
      <w:pPr>
        <w:pStyle w:val="BodyText"/>
        <w:spacing w:line="242" w:lineRule="auto"/>
        <w:ind w:left="118" w:right="116" w:firstLine="288"/>
        <w:jc w:val="both"/>
      </w:pPr>
      <w:r>
        <w:rPr>
          <w:b/>
        </w:rPr>
        <w:t>VIGÉSIMO OCTAVO. </w:t>
      </w:r>
      <w:r>
        <w:rPr/>
        <w:t>La designación de los miembros del Consejo Ciudadano del Sistema Público de Radiodifusión del Estado Mexicano deberá realizarse dentro de los sesenta días naturales siguientes a la entrada en vigor del presente Decreto.</w:t>
      </w:r>
    </w:p>
    <w:p>
      <w:pPr>
        <w:pStyle w:val="BodyText"/>
        <w:spacing w:before="6"/>
        <w:rPr>
          <w:sz w:val="19"/>
        </w:rPr>
      </w:pPr>
    </w:p>
    <w:p>
      <w:pPr>
        <w:pStyle w:val="BodyText"/>
        <w:ind w:left="118" w:right="124" w:firstLine="288"/>
        <w:jc w:val="both"/>
      </w:pPr>
      <w:r>
        <w:rPr>
          <w:b/>
        </w:rPr>
        <w:t>VIGÉSIMO NOVENO. </w:t>
      </w:r>
      <w:r>
        <w:rPr/>
        <w:t>El Presidente del Sistema Público de Radiodifusión del Estado Mexicano someterá a la Junta de Gobierno, para su aprobación, el proyecto de Estatuto Orgánico, dentro de los noventa días naturales siguientes a su nombramiento.</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2" w:firstLine="288"/>
        <w:jc w:val="both"/>
      </w:pPr>
      <w:r>
        <w:rPr>
          <w:b/>
        </w:rPr>
        <w:t>TRIGÉSIMO. </w:t>
      </w:r>
      <w:r>
        <w:rPr/>
        <w:t>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w:t>
      </w:r>
      <w:r>
        <w:rPr>
          <w:spacing w:val="1"/>
        </w:rPr>
        <w:t> </w:t>
      </w:r>
      <w:r>
        <w:rPr/>
        <w:t>citado.</w:t>
      </w:r>
    </w:p>
    <w:p>
      <w:pPr>
        <w:pStyle w:val="BodyText"/>
        <w:spacing w:before="4"/>
        <w:rPr>
          <w:sz w:val="19"/>
        </w:rPr>
      </w:pPr>
    </w:p>
    <w:p>
      <w:pPr>
        <w:pStyle w:val="BodyText"/>
        <w:ind w:left="118" w:right="117" w:firstLine="288"/>
        <w:jc w:val="both"/>
      </w:pPr>
      <w:r>
        <w:rP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BodyText"/>
      </w:pPr>
    </w:p>
    <w:p>
      <w:pPr>
        <w:pStyle w:val="BodyText"/>
        <w:ind w:left="118" w:right="127" w:firstLine="288"/>
        <w:jc w:val="both"/>
      </w:pPr>
      <w:r>
        <w:rPr/>
        <w:t>Los derechos laborales del personal del Organismo Promotor de Medios Audiovisuales se respetarán conforme a la ley.</w:t>
      </w:r>
    </w:p>
    <w:p>
      <w:pPr>
        <w:pStyle w:val="BodyText"/>
        <w:spacing w:before="10"/>
        <w:rPr>
          <w:sz w:val="19"/>
        </w:rPr>
      </w:pPr>
    </w:p>
    <w:p>
      <w:pPr>
        <w:pStyle w:val="BodyText"/>
        <w:ind w:left="118" w:right="123" w:firstLine="288"/>
        <w:jc w:val="both"/>
      </w:pPr>
      <w:r>
        <w:rPr>
          <w:b/>
        </w:rPr>
        <w:t>TRIGÉSIMO PRIMERO. </w:t>
      </w:r>
      <w:r>
        <w:rPr/>
        <w:t>Los recursos humanos, presupuestales, financieros y materiales del Organismo Promotor de Medios Audiovisuales, pasarán a formar parte del Sistema Público de Radiodifusión del Estado Mexicano una vez que se nombre a su Presidente, sin menoscabo de los derechos laborales de sus</w:t>
      </w:r>
      <w:r>
        <w:rPr>
          <w:spacing w:val="1"/>
        </w:rPr>
        <w:t> </w:t>
      </w:r>
      <w:r>
        <w:rPr/>
        <w:t>trabajadores.</w:t>
      </w:r>
    </w:p>
    <w:p>
      <w:pPr>
        <w:pStyle w:val="BodyText"/>
      </w:pPr>
    </w:p>
    <w:p>
      <w:pPr>
        <w:pStyle w:val="BodyText"/>
        <w:spacing w:line="242" w:lineRule="auto"/>
        <w:ind w:left="118" w:right="123" w:firstLine="288"/>
        <w:jc w:val="both"/>
      </w:pPr>
      <w:r>
        <w:rPr>
          <w:b/>
        </w:rPr>
        <w:t>TRIGÉSIMO SEGUNDO. </w:t>
      </w:r>
      <w:r>
        <w:rPr/>
        <w:t>La Secretaría de Gobernación deberá coordinarse con las autoridades que correspondan para el ejercicio de las atribuciones que en materia de monitoreo establece la Ley Federal de Telecomunicaciones y</w:t>
      </w:r>
      <w:r>
        <w:rPr>
          <w:spacing w:val="2"/>
        </w:rPr>
        <w:t> </w:t>
      </w:r>
      <w:r>
        <w:rPr/>
        <w:t>Radiodifusión.</w:t>
      </w:r>
    </w:p>
    <w:p>
      <w:pPr>
        <w:pStyle w:val="BodyText"/>
        <w:spacing w:before="6"/>
        <w:rPr>
          <w:sz w:val="19"/>
        </w:rPr>
      </w:pPr>
    </w:p>
    <w:p>
      <w:pPr>
        <w:pStyle w:val="BodyText"/>
        <w:spacing w:before="1"/>
        <w:ind w:left="118" w:right="124" w:firstLine="288"/>
        <w:jc w:val="both"/>
      </w:pPr>
      <w:r>
        <w:rPr/>
        <w:t>La Cámara de Diputados deberá destinar los recursos necesarios para garantizar el adecuado ejercicio de las atribuciones referidas en el presente</w:t>
      </w:r>
      <w:r>
        <w:rPr>
          <w:spacing w:val="-6"/>
        </w:rPr>
        <w:t> </w:t>
      </w:r>
      <w:r>
        <w:rPr/>
        <w:t>transitorio.</w:t>
      </w:r>
    </w:p>
    <w:p>
      <w:pPr>
        <w:pStyle w:val="BodyText"/>
        <w:spacing w:before="10"/>
        <w:rPr>
          <w:sz w:val="19"/>
        </w:rPr>
      </w:pPr>
    </w:p>
    <w:p>
      <w:pPr>
        <w:pStyle w:val="BodyText"/>
        <w:ind w:left="118" w:right="115" w:firstLine="288"/>
        <w:jc w:val="both"/>
      </w:pPr>
      <w:r>
        <w:rPr>
          <w:b/>
        </w:rPr>
        <w:t>TRIGÉSIMO TERCERO. </w:t>
      </w:r>
      <w:r>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BodyText"/>
      </w:pPr>
    </w:p>
    <w:p>
      <w:pPr>
        <w:pStyle w:val="BodyText"/>
        <w:spacing w:line="242" w:lineRule="auto"/>
        <w:ind w:left="118" w:right="124" w:firstLine="288"/>
        <w:jc w:val="both"/>
      </w:pPr>
      <w:r>
        <w:rPr>
          <w:b/>
        </w:rPr>
        <w:t>TRIGÉSIMO CUARTO. </w:t>
      </w:r>
      <w:r>
        <w:rPr/>
        <w:t>La Cámara de Diputados deberá destinar al Sistema Público de Radiodifusión del Estado Mexicano recursos económicos acordes con sus objetivos y funciones, para lo que deberá considerar:</w:t>
      </w:r>
    </w:p>
    <w:p>
      <w:pPr>
        <w:pStyle w:val="BodyText"/>
        <w:spacing w:before="4"/>
        <w:rPr>
          <w:sz w:val="19"/>
        </w:rPr>
      </w:pPr>
    </w:p>
    <w:p>
      <w:pPr>
        <w:pStyle w:val="ListParagraph"/>
        <w:numPr>
          <w:ilvl w:val="0"/>
          <w:numId w:val="62"/>
        </w:numPr>
        <w:tabs>
          <w:tab w:pos="1198" w:val="left" w:leader="none"/>
          <w:tab w:pos="1199" w:val="left" w:leader="none"/>
        </w:tabs>
        <w:spacing w:line="240" w:lineRule="auto" w:before="0" w:after="0"/>
        <w:ind w:left="1198" w:right="0" w:hanging="793"/>
        <w:jc w:val="left"/>
        <w:rPr>
          <w:sz w:val="20"/>
        </w:rPr>
      </w:pPr>
      <w:r>
        <w:rPr>
          <w:sz w:val="20"/>
        </w:rPr>
        <w:t>Sus planes de</w:t>
      </w:r>
      <w:r>
        <w:rPr>
          <w:spacing w:val="-9"/>
          <w:sz w:val="20"/>
        </w:rPr>
        <w:t> </w:t>
      </w:r>
      <w:r>
        <w:rPr>
          <w:sz w:val="20"/>
        </w:rPr>
        <w:t>crecimiento;</w:t>
      </w:r>
    </w:p>
    <w:p>
      <w:pPr>
        <w:pStyle w:val="BodyText"/>
        <w:spacing w:before="1"/>
      </w:pPr>
    </w:p>
    <w:p>
      <w:pPr>
        <w:pStyle w:val="ListParagraph"/>
        <w:numPr>
          <w:ilvl w:val="0"/>
          <w:numId w:val="62"/>
        </w:numPr>
        <w:tabs>
          <w:tab w:pos="1198" w:val="left" w:leader="none"/>
          <w:tab w:pos="1199" w:val="left" w:leader="none"/>
        </w:tabs>
        <w:spacing w:line="240" w:lineRule="auto" w:before="0" w:after="0"/>
        <w:ind w:left="1198" w:right="0" w:hanging="793"/>
        <w:jc w:val="left"/>
        <w:rPr>
          <w:sz w:val="20"/>
        </w:rPr>
      </w:pPr>
      <w:r>
        <w:rPr>
          <w:sz w:val="20"/>
        </w:rPr>
        <w:t>Sus gastos de operación,</w:t>
      </w:r>
      <w:r>
        <w:rPr>
          <w:spacing w:val="-5"/>
          <w:sz w:val="20"/>
        </w:rPr>
        <w:t> </w:t>
      </w:r>
      <w:r>
        <w:rPr>
          <w:sz w:val="20"/>
        </w:rPr>
        <w:t>y</w:t>
      </w:r>
    </w:p>
    <w:p>
      <w:pPr>
        <w:pStyle w:val="BodyText"/>
      </w:pPr>
    </w:p>
    <w:p>
      <w:pPr>
        <w:pStyle w:val="ListParagraph"/>
        <w:numPr>
          <w:ilvl w:val="0"/>
          <w:numId w:val="62"/>
        </w:numPr>
        <w:tabs>
          <w:tab w:pos="1198" w:val="left" w:leader="none"/>
          <w:tab w:pos="1199" w:val="left" w:leader="none"/>
        </w:tabs>
        <w:spacing w:line="240" w:lineRule="auto" w:before="1" w:after="0"/>
        <w:ind w:left="1198" w:right="0" w:hanging="793"/>
        <w:jc w:val="left"/>
        <w:rPr>
          <w:sz w:val="20"/>
        </w:rPr>
      </w:pPr>
      <w:r>
        <w:rPr>
          <w:sz w:val="20"/>
        </w:rPr>
        <w:t>Su equilibrio</w:t>
      </w:r>
      <w:r>
        <w:rPr>
          <w:spacing w:val="-3"/>
          <w:sz w:val="20"/>
        </w:rPr>
        <w:t> </w:t>
      </w:r>
      <w:r>
        <w:rPr>
          <w:sz w:val="20"/>
        </w:rPr>
        <w:t>financiero.</w:t>
      </w:r>
    </w:p>
    <w:p>
      <w:pPr>
        <w:pStyle w:val="BodyText"/>
        <w:spacing w:before="9"/>
        <w:rPr>
          <w:sz w:val="19"/>
        </w:rPr>
      </w:pPr>
    </w:p>
    <w:p>
      <w:pPr>
        <w:pStyle w:val="BodyText"/>
        <w:spacing w:before="1"/>
        <w:ind w:left="118" w:right="118" w:firstLine="288"/>
        <w:jc w:val="both"/>
      </w:pPr>
      <w:r>
        <w:rPr>
          <w:b/>
        </w:rPr>
        <w:t>TRIGÉSIMO QUINTO. </w:t>
      </w:r>
      <w:r>
        <w:rPr/>
        <w:t>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w:t>
      </w:r>
      <w:r>
        <w:rPr>
          <w:spacing w:val="5"/>
        </w:rPr>
        <w:t>en </w:t>
      </w:r>
      <w:r>
        <w:rPr/>
        <w:t>vigor del presente Decreto en materia de preponderancia continuarán surtiendo todos sus</w:t>
      </w:r>
      <w:r>
        <w:rPr>
          <w:spacing w:val="-9"/>
        </w:rPr>
        <w:t> </w:t>
      </w:r>
      <w:r>
        <w:rPr/>
        <w:t>efectos.</w:t>
      </w:r>
    </w:p>
    <w:p>
      <w:pPr>
        <w:pStyle w:val="BodyText"/>
        <w:spacing w:before="1"/>
      </w:pPr>
    </w:p>
    <w:p>
      <w:pPr>
        <w:pStyle w:val="BodyText"/>
        <w:ind w:left="118" w:right="114" w:firstLine="288"/>
        <w:jc w:val="both"/>
      </w:pPr>
      <w:r>
        <w:rPr>
          <w:b/>
        </w:rPr>
        <w:t>TRIGÉSIMO SEXTO. </w:t>
      </w:r>
      <w:r>
        <w:rPr/>
        <w:t>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spacing w:after="0"/>
        <w:jc w:val="both"/>
        <w:sectPr>
          <w:pgSz w:w="12240" w:h="15840"/>
          <w:pgMar w:header="708" w:footer="712" w:top="1760" w:bottom="900" w:left="1300" w:right="1300"/>
        </w:sectPr>
      </w:pPr>
    </w:p>
    <w:p>
      <w:pPr>
        <w:pStyle w:val="BodyText"/>
        <w:spacing w:before="5"/>
        <w:rPr>
          <w:sz w:val="27"/>
        </w:rPr>
      </w:pPr>
    </w:p>
    <w:p>
      <w:pPr>
        <w:pStyle w:val="BodyText"/>
        <w:spacing w:line="242" w:lineRule="auto" w:before="93"/>
        <w:ind w:left="118" w:right="122" w:firstLine="288"/>
        <w:jc w:val="both"/>
      </w:pPr>
      <w:r>
        <w:rPr>
          <w:b/>
        </w:rPr>
        <w:t>TRIGÉSIMO SÉPTIMO. </w:t>
      </w:r>
      <w:r>
        <w:rPr/>
        <w:t>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BodyText"/>
        <w:spacing w:before="2"/>
        <w:rPr>
          <w:sz w:val="19"/>
        </w:rPr>
      </w:pPr>
    </w:p>
    <w:p>
      <w:pPr>
        <w:pStyle w:val="BodyText"/>
        <w:spacing w:line="242" w:lineRule="auto"/>
        <w:ind w:left="118" w:right="120" w:firstLine="288"/>
        <w:jc w:val="both"/>
      </w:pPr>
      <w:r>
        <w:rPr>
          <w:b/>
        </w:rPr>
        <w:t>TRIGÉSIMO OCTAVO. </w:t>
      </w:r>
      <w:r>
        <w:rPr/>
        <w:t>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w:t>
      </w:r>
      <w:r>
        <w:rPr>
          <w:spacing w:val="-21"/>
        </w:rPr>
        <w:t> </w:t>
      </w:r>
      <w:r>
        <w:rPr/>
        <w:t>electrónicos.</w:t>
      </w:r>
    </w:p>
    <w:p>
      <w:pPr>
        <w:pStyle w:val="BodyText"/>
        <w:spacing w:before="4"/>
        <w:rPr>
          <w:sz w:val="19"/>
        </w:rPr>
      </w:pPr>
    </w:p>
    <w:p>
      <w:pPr>
        <w:pStyle w:val="BodyText"/>
        <w:ind w:left="118" w:right="124" w:firstLine="288"/>
        <w:jc w:val="both"/>
      </w:pPr>
      <w:r>
        <w:rPr/>
        <w:t>Las reglas a que se refiere el párrafo anterior, deberán garantizar una portabilidad efectiva y que la misma se realice en un plazo no mayor a 24 horas contadas a partir de la solicitud realizada por el titular del número respectivo.</w:t>
      </w:r>
    </w:p>
    <w:p>
      <w:pPr>
        <w:pStyle w:val="BodyText"/>
        <w:spacing w:before="3"/>
      </w:pPr>
    </w:p>
    <w:p>
      <w:pPr>
        <w:pStyle w:val="BodyText"/>
        <w:ind w:left="118" w:right="122" w:firstLine="288"/>
        <w:jc w:val="both"/>
      </w:pPr>
      <w:r>
        <w:rP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BodyText"/>
        <w:spacing w:before="8"/>
        <w:rPr>
          <w:sz w:val="19"/>
        </w:rPr>
      </w:pPr>
    </w:p>
    <w:p>
      <w:pPr>
        <w:pStyle w:val="BodyText"/>
        <w:ind w:left="118" w:right="119" w:firstLine="288"/>
        <w:jc w:val="both"/>
      </w:pPr>
      <w:r>
        <w:rPr>
          <w:b/>
        </w:rPr>
        <w:t>TRIGÉSIMO NOVENO. </w:t>
      </w:r>
      <w:r>
        <w:rPr/>
        <w:t>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w:t>
      </w:r>
      <w:r>
        <w:rPr>
          <w:spacing w:val="-7"/>
        </w:rPr>
        <w:t> </w:t>
      </w:r>
      <w:r>
        <w:rPr/>
        <w:t>correspondientes.</w:t>
      </w:r>
    </w:p>
    <w:p>
      <w:pPr>
        <w:pStyle w:val="BodyText"/>
        <w:spacing w:before="10"/>
        <w:rPr>
          <w:sz w:val="19"/>
        </w:rPr>
      </w:pPr>
    </w:p>
    <w:p>
      <w:pPr>
        <w:pStyle w:val="BodyText"/>
        <w:spacing w:line="242" w:lineRule="auto" w:before="1"/>
        <w:ind w:left="118" w:right="118" w:firstLine="288"/>
        <w:jc w:val="both"/>
      </w:pPr>
      <w:r>
        <w:rPr>
          <w:b/>
        </w:rPr>
        <w:t>CUADRAGÉSIMO. </w:t>
      </w:r>
      <w:r>
        <w:rPr/>
        <w:t>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w:t>
      </w:r>
      <w:r>
        <w:rPr>
          <w:spacing w:val="-5"/>
        </w:rPr>
        <w:t> </w:t>
      </w:r>
      <w:r>
        <w:rPr/>
        <w:t>vigor.</w:t>
      </w:r>
    </w:p>
    <w:p>
      <w:pPr>
        <w:pStyle w:val="BodyText"/>
        <w:spacing w:before="2"/>
        <w:rPr>
          <w:sz w:val="19"/>
        </w:rPr>
      </w:pPr>
    </w:p>
    <w:p>
      <w:pPr>
        <w:pStyle w:val="BodyText"/>
        <w:spacing w:line="242" w:lineRule="auto"/>
        <w:ind w:left="118" w:right="121" w:firstLine="288"/>
        <w:jc w:val="both"/>
      </w:pPr>
      <w:r>
        <w:rPr>
          <w:b/>
        </w:rPr>
        <w:t>CUADRAGÉSIMO PRIMERO. </w:t>
      </w:r>
      <w:r>
        <w:rPr/>
        <w:t>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w:t>
      </w:r>
      <w:r>
        <w:rPr>
          <w:spacing w:val="-3"/>
        </w:rPr>
        <w:t> </w:t>
      </w:r>
      <w:r>
        <w:rPr/>
        <w:t>objeto.</w:t>
      </w:r>
    </w:p>
    <w:p>
      <w:pPr>
        <w:pStyle w:val="BodyText"/>
        <w:spacing w:before="4"/>
        <w:rPr>
          <w:sz w:val="19"/>
        </w:rPr>
      </w:pPr>
    </w:p>
    <w:p>
      <w:pPr>
        <w:pStyle w:val="BodyText"/>
        <w:ind w:left="118" w:right="119" w:firstLine="288"/>
        <w:jc w:val="both"/>
      </w:pPr>
      <w:r>
        <w:rPr>
          <w:b/>
        </w:rPr>
        <w:t>CUADRAGÉSIMO SEGUNDO. </w:t>
      </w:r>
      <w:r>
        <w:rPr/>
        <w:t>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w:t>
      </w:r>
      <w:r>
        <w:rPr>
          <w:spacing w:val="-6"/>
        </w:rPr>
        <w:t> </w:t>
      </w:r>
      <w:r>
        <w:rPr/>
        <w:t>finales.</w:t>
      </w:r>
    </w:p>
    <w:p>
      <w:pPr>
        <w:pStyle w:val="BodyText"/>
        <w:spacing w:before="3"/>
      </w:pPr>
    </w:p>
    <w:p>
      <w:pPr>
        <w:pStyle w:val="BodyText"/>
        <w:ind w:left="118" w:right="119" w:firstLine="288"/>
        <w:jc w:val="both"/>
      </w:pPr>
      <w:r>
        <w:rP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spacing w:after="0"/>
        <w:jc w:val="both"/>
        <w:sectPr>
          <w:pgSz w:w="12240" w:h="15840"/>
          <w:pgMar w:header="708" w:footer="712" w:top="1760" w:bottom="900" w:left="1300" w:right="1300"/>
        </w:sectPr>
      </w:pPr>
    </w:p>
    <w:p>
      <w:pPr>
        <w:pStyle w:val="BodyText"/>
        <w:spacing w:before="8"/>
        <w:rPr>
          <w:sz w:val="27"/>
        </w:rPr>
      </w:pPr>
    </w:p>
    <w:p>
      <w:pPr>
        <w:pStyle w:val="BodyText"/>
        <w:spacing w:before="92"/>
        <w:ind w:left="118" w:right="121" w:firstLine="288"/>
        <w:jc w:val="both"/>
      </w:pPr>
      <w:r>
        <w:rP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BodyText"/>
        <w:spacing w:before="9"/>
        <w:rPr>
          <w:sz w:val="19"/>
        </w:rPr>
      </w:pPr>
    </w:p>
    <w:p>
      <w:pPr>
        <w:pStyle w:val="BodyText"/>
        <w:ind w:left="118" w:right="119" w:firstLine="288"/>
        <w:jc w:val="both"/>
      </w:pPr>
      <w:r>
        <w:rPr>
          <w:b/>
        </w:rPr>
        <w:t>CUADRAGÉSIMO TERCERO. </w:t>
      </w:r>
      <w:r>
        <w:rPr/>
        <w:t>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w:t>
      </w:r>
      <w:r>
        <w:rPr>
          <w:spacing w:val="-3"/>
        </w:rPr>
        <w:t> </w:t>
      </w:r>
      <w:r>
        <w:rPr/>
        <w:t>obligación.</w:t>
      </w:r>
    </w:p>
    <w:p>
      <w:pPr>
        <w:pStyle w:val="BodyText"/>
        <w:spacing w:before="2"/>
      </w:pPr>
    </w:p>
    <w:p>
      <w:pPr>
        <w:pStyle w:val="BodyText"/>
        <w:ind w:left="118" w:right="114" w:firstLine="288"/>
        <w:jc w:val="both"/>
      </w:pPr>
      <w:r>
        <w:rPr>
          <w:b/>
        </w:rPr>
        <w:t>CUADRAGÉSIMO CUARTO. </w:t>
      </w:r>
      <w:r>
        <w:rPr/>
        <w:t>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BodyText"/>
      </w:pPr>
    </w:p>
    <w:p>
      <w:pPr>
        <w:pStyle w:val="BodyText"/>
        <w:ind w:left="118" w:right="119" w:firstLine="288"/>
        <w:jc w:val="both"/>
      </w:pPr>
      <w:r>
        <w:rPr>
          <w:b/>
        </w:rPr>
        <w:t>CUADRAGÉSIMO QUINTO. </w:t>
      </w:r>
      <w:r>
        <w:rPr/>
        <w:t>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BodyText"/>
        <w:spacing w:before="11"/>
        <w:rPr>
          <w:sz w:val="19"/>
        </w:rPr>
      </w:pPr>
    </w:p>
    <w:p>
      <w:pPr>
        <w:spacing w:before="0"/>
        <w:ind w:left="118" w:right="113" w:firstLine="288"/>
        <w:jc w:val="both"/>
        <w:rPr>
          <w:b/>
          <w:sz w:val="20"/>
        </w:rPr>
      </w:pPr>
      <w:r>
        <w:rPr>
          <w:sz w:val="20"/>
        </w:rPr>
        <w:t>México, D.F., a 08 de julio de 2014.- Sen. </w:t>
      </w:r>
      <w:r>
        <w:rPr>
          <w:b/>
          <w:sz w:val="20"/>
        </w:rPr>
        <w:t>Raúl Cervantes Andrade</w:t>
      </w:r>
      <w:r>
        <w:rPr>
          <w:sz w:val="20"/>
        </w:rPr>
        <w:t>, Presidente.- Dip. </w:t>
      </w:r>
      <w:r>
        <w:rPr>
          <w:b/>
          <w:sz w:val="20"/>
        </w:rPr>
        <w:t>José González Morfín</w:t>
      </w:r>
      <w:r>
        <w:rPr>
          <w:sz w:val="20"/>
        </w:rPr>
        <w:t>, Presidente.- Sen. </w:t>
      </w:r>
      <w:r>
        <w:rPr>
          <w:b/>
          <w:sz w:val="20"/>
        </w:rPr>
        <w:t>María Elena Barrera Tapia</w:t>
      </w:r>
      <w:r>
        <w:rPr>
          <w:sz w:val="20"/>
        </w:rPr>
        <w:t>, Secretaria.- Dip. </w:t>
      </w:r>
      <w:r>
        <w:rPr>
          <w:b/>
          <w:sz w:val="20"/>
        </w:rPr>
        <w:t>Angelina Carreño Mijares</w:t>
      </w:r>
      <w:r>
        <w:rPr>
          <w:sz w:val="20"/>
        </w:rPr>
        <w:t>, Secretaria.- Rúbricas.</w:t>
      </w:r>
      <w:r>
        <w:rPr>
          <w:b/>
          <w:sz w:val="20"/>
        </w:rPr>
        <w:t>"</w:t>
      </w:r>
    </w:p>
    <w:p>
      <w:pPr>
        <w:pStyle w:val="BodyText"/>
        <w:spacing w:before="1"/>
        <w:rPr>
          <w:b/>
        </w:rPr>
      </w:pPr>
    </w:p>
    <w:p>
      <w:pPr>
        <w:pStyle w:val="BodyText"/>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julio de dos mil catorce.-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40" w:h="15840"/>
          <w:pgMar w:header="708" w:footer="712" w:top="1760" w:bottom="900" w:left="1300" w:right="1300"/>
        </w:sectPr>
      </w:pPr>
    </w:p>
    <w:p>
      <w:pPr>
        <w:pStyle w:val="BodyText"/>
        <w:spacing w:before="5"/>
        <w:rPr>
          <w:sz w:val="27"/>
        </w:rPr>
      </w:pPr>
    </w:p>
    <w:p>
      <w:pPr>
        <w:pStyle w:val="Heading1"/>
        <w:spacing w:before="93"/>
        <w:ind w:left="118" w:right="113"/>
        <w:jc w:val="both"/>
      </w:pPr>
      <w:r>
        <w:rPr/>
        <w:t>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BodyText"/>
        <w:spacing w:before="2"/>
        <w:rPr>
          <w:b/>
        </w:rPr>
      </w:pPr>
    </w:p>
    <w:p>
      <w:pPr>
        <w:spacing w:before="0"/>
        <w:ind w:left="606" w:right="605" w:firstLine="0"/>
        <w:jc w:val="center"/>
        <w:rPr>
          <w:sz w:val="16"/>
        </w:rPr>
      </w:pPr>
      <w:r>
        <w:rPr>
          <w:sz w:val="16"/>
        </w:rPr>
        <w:t>Publicado en el Diario Oficial de la Federación el 18 de diciembre de 2015</w:t>
      </w:r>
    </w:p>
    <w:p>
      <w:pPr>
        <w:pStyle w:val="BodyText"/>
        <w:spacing w:before="8"/>
        <w:rPr>
          <w:sz w:val="19"/>
        </w:rPr>
      </w:pPr>
    </w:p>
    <w:p>
      <w:pPr>
        <w:pStyle w:val="BodyText"/>
        <w:spacing w:before="1"/>
        <w:ind w:left="118" w:right="120" w:firstLine="288"/>
        <w:jc w:val="both"/>
      </w:pPr>
      <w:r>
        <w:rPr>
          <w:b/>
        </w:rPr>
        <w:t>ARTÍCULO ÚNICO.- </w:t>
      </w:r>
      <w:r>
        <w:rPr/>
        <w:t>Se adiciona un párrafo séptimo, se recorren los subsecuentes y se reforma el actual párrafo séptimo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w:t>
      </w:r>
      <w:r>
        <w:rPr>
          <w:spacing w:val="25"/>
        </w:rPr>
        <w:t> </w:t>
      </w:r>
      <w:r>
        <w:rPr/>
        <w:t>DE</w:t>
      </w:r>
    </w:p>
    <w:p>
      <w:pPr>
        <w:pStyle w:val="BodyText"/>
        <w:spacing w:before="3"/>
        <w:ind w:left="118"/>
        <w:jc w:val="both"/>
      </w:pPr>
      <w:r>
        <w:rPr/>
        <w:t>2014, para quedar como sigue:</w:t>
      </w:r>
    </w:p>
    <w:p>
      <w:pPr>
        <w:pStyle w:val="BodyText"/>
        <w:rPr>
          <w:sz w:val="12"/>
        </w:rPr>
      </w:pPr>
    </w:p>
    <w:p>
      <w:pPr>
        <w:spacing w:after="0"/>
        <w:rPr>
          <w:sz w:val="12"/>
        </w:rPr>
        <w:sectPr>
          <w:pgSz w:w="12240" w:h="15840"/>
          <w:pgMar w:header="708"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1"/>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100" w:space="2678"/>
            <w:col w:w="5862"/>
          </w:cols>
        </w:sectPr>
      </w:pPr>
    </w:p>
    <w:p>
      <w:pPr>
        <w:pStyle w:val="BodyText"/>
        <w:spacing w:before="10"/>
        <w:rPr>
          <w:b/>
          <w:sz w:val="11"/>
        </w:rPr>
      </w:pPr>
    </w:p>
    <w:p>
      <w:pPr>
        <w:pStyle w:val="BodyText"/>
        <w:spacing w:line="242" w:lineRule="auto" w:before="93"/>
        <w:ind w:left="118" w:right="125" w:firstLine="288"/>
        <w:jc w:val="both"/>
      </w:pPr>
      <w:r>
        <w:rPr>
          <w:b/>
        </w:rPr>
        <w:t>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ind w:left="118" w:right="125" w:firstLine="288"/>
        <w:jc w:val="both"/>
      </w:pPr>
      <w:r>
        <w:rPr>
          <w:b/>
        </w:rPr>
        <w:t>Segundo. </w:t>
      </w:r>
      <w:r>
        <w:rPr/>
        <w:t>Con la entrada en vigor de este Decreto, se derogan todas las disposiciones legales, reglamentarias y administrativas que se opongan al mismo.</w:t>
      </w:r>
    </w:p>
    <w:p>
      <w:pPr>
        <w:pStyle w:val="BodyText"/>
        <w:spacing w:before="8"/>
        <w:rPr>
          <w:sz w:val="19"/>
        </w:rPr>
      </w:pPr>
    </w:p>
    <w:p>
      <w:pPr>
        <w:pStyle w:val="BodyText"/>
        <w:ind w:left="118" w:right="116" w:firstLine="288"/>
        <w:jc w:val="both"/>
      </w:pPr>
      <w:r>
        <w:rPr>
          <w:b/>
        </w:rPr>
        <w:t>Tercero. </w:t>
      </w:r>
      <w:r>
        <w:rPr/>
        <w:t>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w:t>
      </w:r>
      <w:r>
        <w:rPr>
          <w:spacing w:val="-6"/>
        </w:rPr>
        <w:t> </w:t>
      </w:r>
      <w:r>
        <w:rPr/>
        <w:t>Electorales.</w:t>
      </w:r>
    </w:p>
    <w:p>
      <w:pPr>
        <w:pStyle w:val="BodyText"/>
      </w:pPr>
    </w:p>
    <w:p>
      <w:pPr>
        <w:spacing w:before="0"/>
        <w:ind w:left="118" w:right="118" w:firstLine="288"/>
        <w:jc w:val="both"/>
        <w:rPr>
          <w:b/>
          <w:sz w:val="20"/>
        </w:rPr>
      </w:pPr>
      <w:r>
        <w:rPr>
          <w:sz w:val="20"/>
        </w:rPr>
        <w:t>México, D. F., a 9 de diciembre de 2015.- Sen. </w:t>
      </w:r>
      <w:r>
        <w:rPr>
          <w:b/>
          <w:sz w:val="20"/>
        </w:rPr>
        <w:t>Roberto Gil Zuarth</w:t>
      </w:r>
      <w:r>
        <w:rPr>
          <w:sz w:val="20"/>
        </w:rPr>
        <w:t>, Presidente.- Dip. </w:t>
      </w:r>
      <w:r>
        <w:rPr>
          <w:b/>
          <w:sz w:val="20"/>
        </w:rPr>
        <w:t>José de Jesús Zambrano Grijalva</w:t>
      </w:r>
      <w:r>
        <w:rPr>
          <w:sz w:val="20"/>
        </w:rPr>
        <w:t>, Presidente.- Sen. </w:t>
      </w:r>
      <w:r>
        <w:rPr>
          <w:b/>
          <w:sz w:val="20"/>
        </w:rPr>
        <w:t>Rosa Adriana Díaz Lizama</w:t>
      </w:r>
      <w:r>
        <w:rPr>
          <w:sz w:val="20"/>
        </w:rPr>
        <w:t>, Secretaria.- Dip. </w:t>
      </w:r>
      <w:r>
        <w:rPr>
          <w:b/>
          <w:sz w:val="20"/>
        </w:rPr>
        <w:t>Alejandra Noemí Reynoso Sánchez</w:t>
      </w:r>
      <w:r>
        <w:rPr>
          <w:sz w:val="20"/>
        </w:rPr>
        <w:t>, Secretaria.- Rúbricas.</w:t>
      </w:r>
      <w:r>
        <w:rPr>
          <w:b/>
          <w:sz w:val="20"/>
        </w:rPr>
        <w:t>"</w:t>
      </w:r>
    </w:p>
    <w:p>
      <w:pPr>
        <w:pStyle w:val="BodyText"/>
        <w:spacing w:before="4"/>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11"/>
        <w:jc w:val="both"/>
      </w:pPr>
      <w:r>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w:t>
      </w:r>
      <w:r>
        <w:rPr>
          <w:spacing w:val="2"/>
        </w:rPr>
        <w:t>la </w:t>
      </w:r>
      <w:r>
        <w:rPr/>
        <w:t>Constitución Política de los Estados Unidos Mexicanos, de la Ley Orgánica del Poder Judicial de la Federación, de la Ley Federal de Defensoría Pública, del Código Fiscal de la Federación y de la Ley de Instituciones de</w:t>
      </w:r>
      <w:r>
        <w:rPr>
          <w:spacing w:val="-4"/>
        </w:rPr>
        <w:t> </w:t>
      </w:r>
      <w:r>
        <w:rPr/>
        <w:t>Crédito.</w:t>
      </w:r>
    </w:p>
    <w:p>
      <w:pPr>
        <w:pStyle w:val="BodyText"/>
        <w:spacing w:before="2"/>
        <w:rPr>
          <w:b/>
        </w:rPr>
      </w:pPr>
    </w:p>
    <w:p>
      <w:pPr>
        <w:spacing w:before="0"/>
        <w:ind w:left="606" w:right="605" w:firstLine="0"/>
        <w:jc w:val="center"/>
        <w:rPr>
          <w:sz w:val="16"/>
        </w:rPr>
      </w:pPr>
      <w:r>
        <w:rPr>
          <w:sz w:val="16"/>
        </w:rPr>
        <w:t>Publicado en el Diario Oficial de la Federación el 17 de junio de 2016</w:t>
      </w:r>
    </w:p>
    <w:p>
      <w:pPr>
        <w:pStyle w:val="BodyText"/>
        <w:spacing w:before="9"/>
        <w:rPr>
          <w:sz w:val="19"/>
        </w:rPr>
      </w:pPr>
    </w:p>
    <w:p>
      <w:pPr>
        <w:pStyle w:val="BodyText"/>
        <w:ind w:left="118" w:right="115" w:firstLine="288"/>
        <w:jc w:val="both"/>
      </w:pPr>
      <w:r>
        <w:rPr>
          <w:b/>
        </w:rPr>
        <w:t>Artículo Sexto.- </w:t>
      </w:r>
      <w:r>
        <w:rPr/>
        <w:t>Se </w:t>
      </w:r>
      <w:r>
        <w:rPr>
          <w:b/>
        </w:rPr>
        <w:t>reforman </w:t>
      </w:r>
      <w:r>
        <w:rPr/>
        <w:t>los artículos 12, segundo párrafo; 61, inciso b) de la fracción XVIII; 73, segundo y tercer párrafos; 75, segundo y tercer párrafos; 77, tercer párrafo; 79, segundo párrafo; 124, primer párrafo; 138, primer párrafo; 165; 170, segundo, tercero y quinto párrafos de la fracción I; 173; 182, tercer párrafo; 191; 227, fracciones I, II y III. Se </w:t>
      </w:r>
      <w:r>
        <w:rPr>
          <w:b/>
        </w:rPr>
        <w:t>adicionan </w:t>
      </w:r>
      <w:r>
        <w:rPr/>
        <w:t>un inciso d) a la fracción XVIII del artículo 61; un tercer párrafo al artículo 73, recorriéndose en su orden los subsecuentes; un tercer párrafo al artículo 117, recorriéndose en su orden los subsecuentes; un tercer párrafo al artículo 128, recorriéndose en su orden los subsecuentes; un último párrafo al artículo 166 y un segundo párrafo a la fracción III del artículo 178. Se </w:t>
      </w:r>
      <w:r>
        <w:rPr>
          <w:b/>
        </w:rPr>
        <w:t>deroga </w:t>
      </w:r>
      <w:r>
        <w:rPr/>
        <w:t>el artículo Décimo Transitorio, de la Ley de Amparo, Reglamentaria de los artículos 103 y 107 de la Constitución Política de los Estados Unidos Mexicanos, para quedar como sigue:</w:t>
      </w:r>
    </w:p>
    <w:p>
      <w:pPr>
        <w:pStyle w:val="BodyText"/>
        <w:spacing w:before="4"/>
        <w:rPr>
          <w:sz w:val="12"/>
        </w:rPr>
      </w:pPr>
    </w:p>
    <w:p>
      <w:pPr>
        <w:spacing w:after="0"/>
        <w:rPr>
          <w:sz w:val="12"/>
        </w:rPr>
        <w:sectPr>
          <w:pgSz w:w="12240" w:h="15840"/>
          <w:pgMar w:header="708"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733"/>
            <w:col w:w="5862"/>
          </w:cols>
        </w:sectPr>
      </w:pPr>
    </w:p>
    <w:p>
      <w:pPr>
        <w:pStyle w:val="BodyText"/>
        <w:spacing w:before="10"/>
        <w:rPr>
          <w:b/>
          <w:sz w:val="11"/>
        </w:rPr>
      </w:pPr>
    </w:p>
    <w:p>
      <w:pPr>
        <w:pStyle w:val="BodyText"/>
        <w:spacing w:line="242" w:lineRule="auto" w:before="93"/>
        <w:ind w:left="118" w:right="123" w:firstLine="288"/>
        <w:jc w:val="both"/>
      </w:pPr>
      <w:r>
        <w:rPr>
          <w:b/>
        </w:rPr>
        <w:t>Primero.- </w:t>
      </w:r>
      <w:r>
        <w:rPr/>
        <w:t>El presente Decreto entrará en vigor al día siguiente de su publicación en el Diario Oficial de la Federación salvo lo previsto en el siguiente</w:t>
      </w:r>
      <w:r>
        <w:rPr>
          <w:spacing w:val="-6"/>
        </w:rPr>
        <w:t> </w:t>
      </w:r>
      <w:r>
        <w:rPr/>
        <w:t>artículo.</w:t>
      </w:r>
    </w:p>
    <w:p>
      <w:pPr>
        <w:pStyle w:val="BodyText"/>
        <w:spacing w:before="8"/>
        <w:rPr>
          <w:sz w:val="19"/>
        </w:rPr>
      </w:pPr>
    </w:p>
    <w:p>
      <w:pPr>
        <w:pStyle w:val="BodyText"/>
        <w:ind w:left="118" w:right="111" w:firstLine="288"/>
        <w:jc w:val="both"/>
      </w:pPr>
      <w:r>
        <w:rPr>
          <w:b/>
        </w:rPr>
        <w:t>Segundo.- </w:t>
      </w:r>
      <w:r>
        <w:rPr/>
        <w:t>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BodyText"/>
        <w:spacing w:before="1"/>
      </w:pPr>
    </w:p>
    <w:p>
      <w:pPr>
        <w:pStyle w:val="BodyText"/>
        <w:ind w:left="118" w:right="121" w:firstLine="288"/>
        <w:jc w:val="both"/>
      </w:pPr>
      <w:r>
        <w:rPr/>
        <w:t>Los procedimientos que se encuentren en trámite, relacionados con las modificaciones a los  preceptos legales contemplados en el presente Decreto, se resolverán de conformidad con las disposiciones que les dieron</w:t>
      </w:r>
      <w:r>
        <w:rPr>
          <w:spacing w:val="-3"/>
        </w:rPr>
        <w:t> </w:t>
      </w:r>
      <w:r>
        <w:rPr/>
        <w:t>origen.</w:t>
      </w:r>
    </w:p>
    <w:p>
      <w:pPr>
        <w:pStyle w:val="BodyText"/>
      </w:pPr>
    </w:p>
    <w:p>
      <w:pPr>
        <w:pStyle w:val="BodyText"/>
        <w:ind w:left="118" w:right="117" w:firstLine="288"/>
        <w:jc w:val="both"/>
      </w:pPr>
      <w:r>
        <w:rPr>
          <w:b/>
        </w:rPr>
        <w:t>Tercero.- </w:t>
      </w:r>
      <w:r>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BodyText"/>
        <w:spacing w:before="2"/>
      </w:pPr>
    </w:p>
    <w:p>
      <w:pPr>
        <w:pStyle w:val="BodyText"/>
        <w:ind w:left="118" w:right="119" w:firstLine="288"/>
        <w:jc w:val="both"/>
      </w:pPr>
      <w:r>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spacing w:after="0"/>
        <w:jc w:val="both"/>
        <w:sectPr>
          <w:type w:val="continuous"/>
          <w:pgSz w:w="12240" w:h="15840"/>
          <w:pgMar w:top="1760" w:bottom="900" w:left="1300" w:right="1300"/>
        </w:sectPr>
      </w:pPr>
    </w:p>
    <w:p>
      <w:pPr>
        <w:pStyle w:val="BodyText"/>
        <w:spacing w:before="5"/>
        <w:rPr>
          <w:sz w:val="27"/>
        </w:rPr>
      </w:pPr>
    </w:p>
    <w:p>
      <w:pPr>
        <w:pStyle w:val="BodyText"/>
        <w:spacing w:line="242" w:lineRule="auto" w:before="93"/>
        <w:ind w:left="118" w:right="117" w:firstLine="288"/>
        <w:jc w:val="both"/>
      </w:pPr>
      <w:r>
        <w:rPr>
          <w:b/>
        </w:rPr>
        <w:t>Cuarto.- </w:t>
      </w:r>
      <w:r>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BodyText"/>
        <w:spacing w:before="4"/>
        <w:rPr>
          <w:sz w:val="19"/>
        </w:rPr>
      </w:pPr>
    </w:p>
    <w:p>
      <w:pPr>
        <w:pStyle w:val="BodyText"/>
        <w:ind w:left="118" w:right="115" w:firstLine="288"/>
        <w:jc w:val="both"/>
      </w:pPr>
      <w:r>
        <w:rPr>
          <w:b/>
        </w:rPr>
        <w:t>Quinto.- </w:t>
      </w:r>
      <w:r>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w:t>
      </w:r>
      <w:r>
        <w:rPr>
          <w:spacing w:val="-5"/>
        </w:rPr>
        <w:t> </w:t>
      </w:r>
      <w:r>
        <w:rPr/>
        <w:t>Código.</w:t>
      </w:r>
    </w:p>
    <w:p>
      <w:pPr>
        <w:pStyle w:val="BodyText"/>
        <w:spacing w:before="1"/>
      </w:pPr>
    </w:p>
    <w:p>
      <w:pPr>
        <w:pStyle w:val="BodyText"/>
        <w:spacing w:line="242" w:lineRule="auto"/>
        <w:ind w:left="118" w:right="119" w:firstLine="288"/>
        <w:jc w:val="both"/>
      </w:pPr>
      <w:r>
        <w:rPr>
          <w:b/>
        </w:rPr>
        <w:t>Sexto.- </w:t>
      </w:r>
      <w:r>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BodyText"/>
        <w:spacing w:before="2"/>
        <w:rPr>
          <w:sz w:val="19"/>
        </w:rPr>
      </w:pPr>
    </w:p>
    <w:p>
      <w:pPr>
        <w:spacing w:before="0"/>
        <w:ind w:left="118" w:right="115" w:firstLine="288"/>
        <w:jc w:val="both"/>
        <w:rPr>
          <w:sz w:val="20"/>
        </w:rPr>
      </w:pPr>
      <w:r>
        <w:rPr>
          <w:sz w:val="20"/>
        </w:rPr>
        <w:t>Ciudad de México, a 15 de junio de 2016.- Sen. </w:t>
      </w:r>
      <w:r>
        <w:rPr>
          <w:b/>
          <w:sz w:val="20"/>
        </w:rPr>
        <w:t>Roberto Gil Zuarth</w:t>
      </w:r>
      <w:r>
        <w:rPr>
          <w:sz w:val="20"/>
        </w:rPr>
        <w:t>, Presidente.- Dip. </w:t>
      </w:r>
      <w:r>
        <w:rPr>
          <w:b/>
          <w:sz w:val="20"/>
        </w:rPr>
        <w:t>José de Jesús Zambrano Grijalva</w:t>
      </w:r>
      <w:r>
        <w:rPr>
          <w:sz w:val="20"/>
        </w:rPr>
        <w:t>, Presidente.- Sen. </w:t>
      </w:r>
      <w:r>
        <w:rPr>
          <w:b/>
          <w:sz w:val="20"/>
        </w:rPr>
        <w:t>Hilda Esthela Flores Escalera</w:t>
      </w:r>
      <w:r>
        <w:rPr>
          <w:sz w:val="20"/>
        </w:rPr>
        <w:t>, Secretaria.- Dip. </w:t>
      </w:r>
      <w:r>
        <w:rPr>
          <w:b/>
          <w:sz w:val="20"/>
        </w:rPr>
        <w:t>Verónica Delgadillo García</w:t>
      </w:r>
      <w:r>
        <w:rPr>
          <w:sz w:val="20"/>
        </w:rPr>
        <w:t>, Secretaria.- Rúbricas."</w:t>
      </w:r>
    </w:p>
    <w:p>
      <w:pPr>
        <w:pStyle w:val="BodyText"/>
        <w:spacing w:before="4"/>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Pr>
          <w:b/>
        </w:rPr>
        <w:t>Enrique Peña Nieto</w:t>
      </w:r>
      <w:r>
        <w:rPr/>
        <w:t>.- Rúbrica.- El Secretario de Gobernación, </w:t>
      </w:r>
      <w:r>
        <w:rPr>
          <w:b/>
        </w:rPr>
        <w:t>Miguel Ángel Osorio Chong</w:t>
      </w:r>
      <w:r>
        <w:rPr/>
        <w:t>.- Rúbrica.</w:t>
      </w:r>
    </w:p>
    <w:p>
      <w:pPr>
        <w:spacing w:after="0"/>
        <w:jc w:val="both"/>
        <w:sectPr>
          <w:pgSz w:w="12240" w:h="15840"/>
          <w:pgMar w:header="708" w:footer="712" w:top="1760" w:bottom="900" w:left="1300" w:right="1300"/>
        </w:sectPr>
      </w:pPr>
    </w:p>
    <w:p>
      <w:pPr>
        <w:pStyle w:val="BodyText"/>
        <w:spacing w:before="5"/>
        <w:rPr>
          <w:sz w:val="27"/>
        </w:rPr>
      </w:pPr>
    </w:p>
    <w:p>
      <w:pPr>
        <w:pStyle w:val="Heading1"/>
        <w:spacing w:before="93"/>
        <w:ind w:left="118" w:right="119"/>
        <w:jc w:val="both"/>
      </w:pPr>
      <w:r>
        <w:rPr/>
        <w:t>DECRETO por el que se reforman los artículos 19 de la Ley de Amparo, Reglamentaria de los artículos 103 y 107 de la Constitución Política de los Estados Unidos Mexicanos y 163 de la Ley Orgánica del Poder Judicial de la Federación.</w:t>
      </w:r>
    </w:p>
    <w:p>
      <w:pPr>
        <w:pStyle w:val="BodyText"/>
        <w:spacing w:before="1"/>
        <w:rPr>
          <w:b/>
        </w:rPr>
      </w:pPr>
    </w:p>
    <w:p>
      <w:pPr>
        <w:spacing w:before="0"/>
        <w:ind w:left="605" w:right="605" w:firstLine="0"/>
        <w:jc w:val="center"/>
        <w:rPr>
          <w:sz w:val="16"/>
        </w:rPr>
      </w:pPr>
      <w:r>
        <w:rPr>
          <w:sz w:val="16"/>
        </w:rPr>
        <w:t>Publicado en el Diario Oficial de la Federación el 19 de enero de 2018</w:t>
      </w:r>
    </w:p>
    <w:p>
      <w:pPr>
        <w:pStyle w:val="BodyText"/>
      </w:pPr>
    </w:p>
    <w:p>
      <w:pPr>
        <w:pStyle w:val="BodyText"/>
        <w:ind w:left="118" w:right="116" w:firstLine="288"/>
      </w:pPr>
      <w:r>
        <w:rPr>
          <w:b/>
        </w:rPr>
        <w:t>Artículo Primero.- </w:t>
      </w:r>
      <w:r>
        <w:rPr/>
        <w:t>Se reforma el artículo 19 de la Ley de Amparo, Reglamentaria de los artículos 103 y 107 de la Constitución Política de los Estados Unidos Mexicanos, para quedar como sigue:</w:t>
      </w:r>
    </w:p>
    <w:p>
      <w:pPr>
        <w:pStyle w:val="BodyText"/>
        <w:rPr>
          <w:sz w:val="12"/>
        </w:rPr>
      </w:pPr>
    </w:p>
    <w:p>
      <w:pPr>
        <w:spacing w:after="0"/>
        <w:rPr>
          <w:sz w:val="12"/>
        </w:rPr>
        <w:sectPr>
          <w:pgSz w:w="12240" w:h="15840"/>
          <w:pgMar w:header="708"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100" w:space="2738"/>
            <w:col w:w="5802"/>
          </w:cols>
        </w:sectPr>
      </w:pPr>
    </w:p>
    <w:p>
      <w:pPr>
        <w:pStyle w:val="BodyText"/>
        <w:spacing w:before="10"/>
        <w:rPr>
          <w:b/>
          <w:sz w:val="11"/>
        </w:rPr>
      </w:pPr>
    </w:p>
    <w:p>
      <w:pPr>
        <w:pStyle w:val="BodyText"/>
        <w:spacing w:line="242" w:lineRule="auto" w:before="93"/>
        <w:ind w:left="118" w:right="126"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6"/>
        <w:rPr>
          <w:sz w:val="19"/>
        </w:rPr>
      </w:pPr>
    </w:p>
    <w:p>
      <w:pPr>
        <w:spacing w:before="0"/>
        <w:ind w:left="118" w:right="116" w:firstLine="288"/>
        <w:jc w:val="both"/>
        <w:rPr>
          <w:b/>
          <w:sz w:val="20"/>
        </w:rPr>
      </w:pPr>
      <w:r>
        <w:rPr>
          <w:sz w:val="20"/>
        </w:rPr>
        <w:t>Ciudad de México, a 23 de noviembre de 2017.- Dip. </w:t>
      </w:r>
      <w:r>
        <w:rPr>
          <w:b/>
          <w:sz w:val="20"/>
        </w:rPr>
        <w:t>Jorge Carlos Ramírez Marín</w:t>
      </w:r>
      <w:r>
        <w:rPr>
          <w:sz w:val="20"/>
        </w:rPr>
        <w:t>, Presidente.- Sen. </w:t>
      </w:r>
      <w:r>
        <w:rPr>
          <w:b/>
          <w:sz w:val="20"/>
        </w:rPr>
        <w:t>Ernesto Cordero Arroyo</w:t>
      </w:r>
      <w:r>
        <w:rPr>
          <w:sz w:val="20"/>
        </w:rPr>
        <w:t>, Presidente.- Dip. </w:t>
      </w:r>
      <w:r>
        <w:rPr>
          <w:b/>
          <w:sz w:val="20"/>
        </w:rPr>
        <w:t>María Eugenia Ocampo Bedolla</w:t>
      </w:r>
      <w:r>
        <w:rPr>
          <w:sz w:val="20"/>
        </w:rPr>
        <w:t>, Secretaria.- Sen. </w:t>
      </w:r>
      <w:r>
        <w:rPr>
          <w:b/>
          <w:sz w:val="20"/>
        </w:rPr>
        <w:t>Juan G. Flores Ramírez</w:t>
      </w:r>
      <w:r>
        <w:rPr>
          <w:sz w:val="20"/>
        </w:rPr>
        <w:t>, Secretario.-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5"/>
        <w:rPr>
          <w:sz w:val="27"/>
        </w:rPr>
      </w:pPr>
    </w:p>
    <w:p>
      <w:pPr>
        <w:pStyle w:val="Heading1"/>
        <w:spacing w:before="93"/>
        <w:ind w:left="118" w:right="113"/>
        <w:jc w:val="both"/>
      </w:pPr>
      <w:r>
        <w:rPr/>
        <w:t>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pPr>
        <w:pStyle w:val="BodyText"/>
        <w:spacing w:before="2"/>
        <w:rPr>
          <w:b/>
        </w:rPr>
      </w:pPr>
    </w:p>
    <w:p>
      <w:pPr>
        <w:spacing w:before="0"/>
        <w:ind w:left="606" w:right="605" w:firstLine="0"/>
        <w:jc w:val="center"/>
        <w:rPr>
          <w:sz w:val="16"/>
        </w:rPr>
      </w:pPr>
      <w:r>
        <w:rPr>
          <w:sz w:val="16"/>
        </w:rPr>
        <w:t>Publicado en el Diario Oficial de la Federación el 15 de junio de 2018</w:t>
      </w:r>
    </w:p>
    <w:p>
      <w:pPr>
        <w:pStyle w:val="BodyText"/>
        <w:spacing w:before="8"/>
        <w:rPr>
          <w:sz w:val="19"/>
        </w:rPr>
      </w:pPr>
    </w:p>
    <w:p>
      <w:pPr>
        <w:pStyle w:val="BodyText"/>
        <w:spacing w:line="242" w:lineRule="auto" w:before="1"/>
        <w:ind w:left="118" w:right="125" w:firstLine="288"/>
        <w:jc w:val="both"/>
      </w:pPr>
      <w:r>
        <w:rPr>
          <w:b/>
        </w:rPr>
        <w:t>Artículo Único.- </w:t>
      </w:r>
      <w:r>
        <w:rPr/>
        <w:t>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pPr>
        <w:pStyle w:val="BodyText"/>
        <w:spacing w:before="2"/>
        <w:rPr>
          <w:sz w:val="11"/>
        </w:rPr>
      </w:pPr>
    </w:p>
    <w:p>
      <w:pPr>
        <w:spacing w:after="0"/>
        <w:rPr>
          <w:sz w:val="11"/>
        </w:rPr>
        <w:sectPr>
          <w:pgSz w:w="12240" w:h="15840"/>
          <w:pgMar w:header="708"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1"/>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733"/>
            <w:col w:w="5862"/>
          </w:cols>
        </w:sectPr>
      </w:pPr>
    </w:p>
    <w:p>
      <w:pPr>
        <w:pStyle w:val="BodyText"/>
        <w:spacing w:before="10"/>
        <w:rPr>
          <w:b/>
          <w:sz w:val="11"/>
        </w:rPr>
      </w:pPr>
    </w:p>
    <w:p>
      <w:pPr>
        <w:pStyle w:val="BodyText"/>
        <w:spacing w:line="242" w:lineRule="auto" w:before="93"/>
        <w:ind w:left="118" w:right="123" w:firstLine="288"/>
        <w:jc w:val="both"/>
      </w:pPr>
      <w:r>
        <w:rPr>
          <w:b/>
        </w:rPr>
        <w:t>Primero.- </w:t>
      </w:r>
      <w:r>
        <w:rPr/>
        <w:t>El presente Decreto entrará en vigor al día siguiente de su publicación en el Diario Oficial de la</w:t>
      </w:r>
      <w:r>
        <w:rPr>
          <w:spacing w:val="-3"/>
        </w:rPr>
        <w:t> </w:t>
      </w:r>
      <w:r>
        <w:rPr/>
        <w:t>Federación.</w:t>
      </w:r>
    </w:p>
    <w:p>
      <w:pPr>
        <w:pStyle w:val="BodyText"/>
        <w:spacing w:before="8"/>
        <w:rPr>
          <w:sz w:val="19"/>
        </w:rPr>
      </w:pPr>
    </w:p>
    <w:p>
      <w:pPr>
        <w:pStyle w:val="BodyText"/>
        <w:ind w:left="118" w:right="114" w:firstLine="288"/>
        <w:jc w:val="both"/>
      </w:pPr>
      <w:r>
        <w:rPr>
          <w:b/>
        </w:rPr>
        <w:t>Segundo.- </w:t>
      </w:r>
      <w:r>
        <w:rPr/>
        <w:t>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w:t>
      </w:r>
      <w:r>
        <w:rPr>
          <w:spacing w:val="-2"/>
        </w:rPr>
        <w:t> </w:t>
      </w:r>
      <w:r>
        <w:rPr/>
        <w:t>Decreto.</w:t>
      </w:r>
    </w:p>
    <w:p>
      <w:pPr>
        <w:pStyle w:val="BodyText"/>
        <w:spacing w:before="1"/>
      </w:pPr>
    </w:p>
    <w:p>
      <w:pPr>
        <w:spacing w:before="0"/>
        <w:ind w:left="118" w:right="114" w:firstLine="288"/>
        <w:jc w:val="both"/>
        <w:rPr>
          <w:b/>
          <w:sz w:val="20"/>
        </w:rPr>
      </w:pPr>
      <w:r>
        <w:rPr>
          <w:sz w:val="20"/>
        </w:rPr>
        <w:t>Ciudad de México, a 26 de abril de 2018.- Sen. </w:t>
      </w:r>
      <w:r>
        <w:rPr>
          <w:b/>
          <w:sz w:val="20"/>
        </w:rPr>
        <w:t>Ernesto Cordero Arroyo</w:t>
      </w:r>
      <w:r>
        <w:rPr>
          <w:sz w:val="20"/>
        </w:rPr>
        <w:t>, Presidente.- Dip. </w:t>
      </w:r>
      <w:r>
        <w:rPr>
          <w:b/>
          <w:sz w:val="20"/>
        </w:rPr>
        <w:t>Edgar Romo García</w:t>
      </w:r>
      <w:r>
        <w:rPr>
          <w:sz w:val="20"/>
        </w:rPr>
        <w:t>, Presidente.- Sen. </w:t>
      </w:r>
      <w:r>
        <w:rPr>
          <w:b/>
          <w:sz w:val="20"/>
        </w:rPr>
        <w:t>Juan Gerardo Flores Ramírez</w:t>
      </w:r>
      <w:r>
        <w:rPr>
          <w:sz w:val="20"/>
        </w:rPr>
        <w:t>, Secretario.- Dip. </w:t>
      </w:r>
      <w:r>
        <w:rPr>
          <w:b/>
          <w:sz w:val="20"/>
        </w:rPr>
        <w:t>Mariana Arámbula Meléndez</w:t>
      </w:r>
      <w:r>
        <w:rPr>
          <w:sz w:val="20"/>
        </w:rPr>
        <w:t>, Secretaria.- Rúbricas.</w:t>
      </w:r>
      <w:r>
        <w:rPr>
          <w:b/>
          <w:sz w:val="20"/>
        </w:rPr>
        <w:t>"</w:t>
      </w:r>
    </w:p>
    <w:p>
      <w:pPr>
        <w:pStyle w:val="BodyText"/>
        <w:spacing w:before="1"/>
        <w:rPr>
          <w:b/>
        </w:rPr>
      </w:pPr>
    </w:p>
    <w:p>
      <w:pPr>
        <w:pStyle w:val="BodyText"/>
        <w:ind w:left="118" w:right="11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Pr>
          <w:b/>
        </w:rPr>
        <w:t>Enrique Peña Nieto</w:t>
      </w:r>
      <w:r>
        <w:rPr/>
        <w:t>.- Rúbrica.- El Secretario de Gobernación, Dr. </w:t>
      </w:r>
      <w:r>
        <w:rPr>
          <w:b/>
        </w:rPr>
        <w:t>Jesús Alfonso Navarrete Prida</w:t>
      </w:r>
      <w:r>
        <w:rPr/>
        <w:t>.- Rúbrica.</w:t>
      </w:r>
    </w:p>
    <w:sectPr>
      <w:type w:val="continuous"/>
      <w:pgSz w:w="12240" w:h="15840"/>
      <w:pgMar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570007pt;margin-top:745.395996pt;width:34pt;height:12pt;mso-position-horizontal-relative:page;mso-position-vertical-relative:page;z-index:-2548992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93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8412160">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line style="position:absolute;mso-position-horizontal-relative:page;mso-position-vertical-relative:page;z-index:-254903296" from="136.940002pt,53.52pt" to="544.770002pt,53.5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34.396603pt;width:409.85pt;height:18.95pt;mso-position-horizontal-relative:page;mso-position-vertical-relative:page;z-index:-254902272" type="#_x0000_t202" filled="false" stroked="false">
          <v:textbox inset="0,0,0,0">
            <w:txbxContent>
              <w:p>
                <w:pPr>
                  <w:spacing w:before="19"/>
                  <w:ind w:left="0" w:right="97" w:firstLine="0"/>
                  <w:jc w:val="right"/>
                  <w:rPr>
                    <w:rFonts w:ascii="Tahoma" w:hAnsi="Tahoma"/>
                    <w:b/>
                    <w:sz w:val="14"/>
                  </w:rPr>
                </w:pPr>
                <w:r>
                  <w:rPr>
                    <w:rFonts w:ascii="Tahoma" w:hAnsi="Tahoma"/>
                    <w:b/>
                    <w:sz w:val="14"/>
                  </w:rPr>
                  <w:t>LEY DE AMPARO, REGLAMENTARIA DE LOS ARTÍCULOS 103 Y 107 DE LA CONSTITUCIÓN POLÍTICA DE LOS</w:t>
                </w:r>
              </w:p>
              <w:p>
                <w:pPr>
                  <w:tabs>
                    <w:tab w:pos="5892" w:val="left" w:leader="none"/>
                  </w:tabs>
                  <w:spacing w:before="1"/>
                  <w:ind w:left="0" w:right="18" w:firstLine="0"/>
                  <w:jc w:val="right"/>
                  <w:rPr>
                    <w:rFonts w:ascii="Tahoma"/>
                    <w:b/>
                    <w:sz w:val="14"/>
                  </w:rPr>
                </w:pPr>
                <w:r>
                  <w:rPr>
                    <w:rFonts w:ascii="Tahoma"/>
                    <w:b/>
                    <w:w w:val="99"/>
                    <w:sz w:val="14"/>
                    <w:u w:val="single"/>
                  </w:rPr>
                  <w:t> </w:t>
                </w:r>
                <w:r>
                  <w:rPr>
                    <w:rFonts w:ascii="Tahoma"/>
                    <w:b/>
                    <w:sz w:val="14"/>
                    <w:u w:val="single"/>
                  </w:rPr>
                  <w:tab/>
                  <w:t>ESTADOS UNIDOS</w:t>
                </w:r>
                <w:r>
                  <w:rPr>
                    <w:rFonts w:ascii="Tahoma"/>
                    <w:b/>
                    <w:spacing w:val="-16"/>
                    <w:sz w:val="14"/>
                    <w:u w:val="single"/>
                  </w:rPr>
                  <w:t> </w:t>
                </w:r>
                <w:r>
                  <w:rPr>
                    <w:rFonts w:ascii="Tahoma"/>
                    <w:b/>
                    <w:sz w:val="14"/>
                    <w:u w:val="single"/>
                  </w:rPr>
                  <w:t>MEXICANOS</w:t>
                </w:r>
                <w:r>
                  <w:rPr>
                    <w:rFonts w:ascii="Tahoma"/>
                    <w:b/>
                    <w:spacing w:val="-7"/>
                    <w:sz w:val="14"/>
                    <w:u w:val="single"/>
                  </w:rPr>
                  <w:t> </w:t>
                </w:r>
              </w:p>
            </w:txbxContent>
          </v:textbox>
          <w10:wrap type="none"/>
        </v:shape>
      </w:pict>
    </w:r>
    <w:r>
      <w:rPr/>
      <w:pict>
        <v:shape style="position:absolute;margin-left:135.940002pt;margin-top:55.368595pt;width:136.25pt;height:24.9pt;mso-position-horizontal-relative:page;mso-position-vertical-relative:page;z-index:-254901248"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9" w:lineRule="exact" w:before="0"/>
                  <w:ind w:left="20" w:right="0" w:firstLine="0"/>
                  <w:jc w:val="left"/>
                  <w:rPr>
                    <w:rFonts w:ascii="Arial Narrow" w:hAnsi="Arial Narrow"/>
                    <w:sz w:val="13"/>
                  </w:rPr>
                </w:pPr>
                <w:r>
                  <w:rPr>
                    <w:rFonts w:ascii="Arial Narrow" w:hAnsi="Arial Narrow"/>
                    <w:sz w:val="13"/>
                  </w:rPr>
                  <w:t>Secretaría General</w:t>
                </w:r>
              </w:p>
              <w:p>
                <w:pPr>
                  <w:spacing w:before="0"/>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579296pt;width:105.05pt;height:9.8pt;mso-position-horizontal-relative:page;mso-position-vertical-relative:page;z-index:-254900224" type="#_x0000_t202" filled="false" stroked="false">
          <v:textbox inset="0,0,0,0">
            <w:txbxContent>
              <w:p>
                <w:pPr>
                  <w:spacing w:before="14"/>
                  <w:ind w:left="20" w:right="0" w:firstLine="0"/>
                  <w:jc w:val="left"/>
                  <w:rPr>
                    <w:i/>
                    <w:sz w:val="14"/>
                  </w:rPr>
                </w:pPr>
                <w:r>
                  <w:rPr>
                    <w:i/>
                    <w:color w:val="171717"/>
                    <w:sz w:val="14"/>
                  </w:rPr>
                  <w:t>Última Reforma DOF 15-06-2018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61">
    <w:multiLevelType w:val="hybridMultilevel"/>
    <w:lvl w:ilvl="0">
      <w:start w:val="1"/>
      <w:numFmt w:val="upperRoman"/>
      <w:lvlText w:val="%1."/>
      <w:lvlJc w:val="left"/>
      <w:pPr>
        <w:ind w:left="1198" w:hanging="7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044" w:hanging="792"/>
      </w:pPr>
      <w:rPr>
        <w:rFonts w:hint="default"/>
        <w:lang w:val="es-ES" w:eastAsia="es-ES" w:bidi="es-ES"/>
      </w:rPr>
    </w:lvl>
    <w:lvl w:ilvl="2">
      <w:start w:val="0"/>
      <w:numFmt w:val="bullet"/>
      <w:lvlText w:val="•"/>
      <w:lvlJc w:val="left"/>
      <w:pPr>
        <w:ind w:left="2888" w:hanging="792"/>
      </w:pPr>
      <w:rPr>
        <w:rFonts w:hint="default"/>
        <w:lang w:val="es-ES" w:eastAsia="es-ES" w:bidi="es-ES"/>
      </w:rPr>
    </w:lvl>
    <w:lvl w:ilvl="3">
      <w:start w:val="0"/>
      <w:numFmt w:val="bullet"/>
      <w:lvlText w:val="•"/>
      <w:lvlJc w:val="left"/>
      <w:pPr>
        <w:ind w:left="3732" w:hanging="792"/>
      </w:pPr>
      <w:rPr>
        <w:rFonts w:hint="default"/>
        <w:lang w:val="es-ES" w:eastAsia="es-ES" w:bidi="es-ES"/>
      </w:rPr>
    </w:lvl>
    <w:lvl w:ilvl="4">
      <w:start w:val="0"/>
      <w:numFmt w:val="bullet"/>
      <w:lvlText w:val="•"/>
      <w:lvlJc w:val="left"/>
      <w:pPr>
        <w:ind w:left="4576" w:hanging="792"/>
      </w:pPr>
      <w:rPr>
        <w:rFonts w:hint="default"/>
        <w:lang w:val="es-ES" w:eastAsia="es-ES" w:bidi="es-ES"/>
      </w:rPr>
    </w:lvl>
    <w:lvl w:ilvl="5">
      <w:start w:val="0"/>
      <w:numFmt w:val="bullet"/>
      <w:lvlText w:val="•"/>
      <w:lvlJc w:val="left"/>
      <w:pPr>
        <w:ind w:left="5420" w:hanging="792"/>
      </w:pPr>
      <w:rPr>
        <w:rFonts w:hint="default"/>
        <w:lang w:val="es-ES" w:eastAsia="es-ES" w:bidi="es-ES"/>
      </w:rPr>
    </w:lvl>
    <w:lvl w:ilvl="6">
      <w:start w:val="0"/>
      <w:numFmt w:val="bullet"/>
      <w:lvlText w:val="•"/>
      <w:lvlJc w:val="left"/>
      <w:pPr>
        <w:ind w:left="6264" w:hanging="792"/>
      </w:pPr>
      <w:rPr>
        <w:rFonts w:hint="default"/>
        <w:lang w:val="es-ES" w:eastAsia="es-ES" w:bidi="es-ES"/>
      </w:rPr>
    </w:lvl>
    <w:lvl w:ilvl="7">
      <w:start w:val="0"/>
      <w:numFmt w:val="bullet"/>
      <w:lvlText w:val="•"/>
      <w:lvlJc w:val="left"/>
      <w:pPr>
        <w:ind w:left="7108" w:hanging="792"/>
      </w:pPr>
      <w:rPr>
        <w:rFonts w:hint="default"/>
        <w:lang w:val="es-ES" w:eastAsia="es-ES" w:bidi="es-ES"/>
      </w:rPr>
    </w:lvl>
    <w:lvl w:ilvl="8">
      <w:start w:val="0"/>
      <w:numFmt w:val="bullet"/>
      <w:lvlText w:val="•"/>
      <w:lvlJc w:val="left"/>
      <w:pPr>
        <w:ind w:left="7952" w:hanging="792"/>
      </w:pPr>
      <w:rPr>
        <w:rFonts w:hint="default"/>
        <w:lang w:val="es-ES" w:eastAsia="es-ES" w:bidi="es-ES"/>
      </w:rPr>
    </w:lvl>
  </w:abstractNum>
  <w:abstractNum w:abstractNumId="60">
    <w:multiLevelType w:val="hybridMultilevel"/>
    <w:lvl w:ilvl="0">
      <w:start w:val="1"/>
      <w:numFmt w:val="lowerLetter"/>
      <w:lvlText w:val="%1."/>
      <w:lvlJc w:val="left"/>
      <w:pPr>
        <w:ind w:left="118" w:hanging="298"/>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118" w:hanging="185"/>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118" w:hanging="231"/>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2976" w:hanging="231"/>
      </w:pPr>
      <w:rPr>
        <w:rFonts w:hint="default"/>
        <w:lang w:val="es-ES" w:eastAsia="es-ES" w:bidi="es-ES"/>
      </w:rPr>
    </w:lvl>
    <w:lvl w:ilvl="4">
      <w:start w:val="0"/>
      <w:numFmt w:val="bullet"/>
      <w:lvlText w:val="•"/>
      <w:lvlJc w:val="left"/>
      <w:pPr>
        <w:ind w:left="3928" w:hanging="231"/>
      </w:pPr>
      <w:rPr>
        <w:rFonts w:hint="default"/>
        <w:lang w:val="es-ES" w:eastAsia="es-ES" w:bidi="es-ES"/>
      </w:rPr>
    </w:lvl>
    <w:lvl w:ilvl="5">
      <w:start w:val="0"/>
      <w:numFmt w:val="bullet"/>
      <w:lvlText w:val="•"/>
      <w:lvlJc w:val="left"/>
      <w:pPr>
        <w:ind w:left="4880" w:hanging="231"/>
      </w:pPr>
      <w:rPr>
        <w:rFonts w:hint="default"/>
        <w:lang w:val="es-ES" w:eastAsia="es-ES" w:bidi="es-ES"/>
      </w:rPr>
    </w:lvl>
    <w:lvl w:ilvl="6">
      <w:start w:val="0"/>
      <w:numFmt w:val="bullet"/>
      <w:lvlText w:val="•"/>
      <w:lvlJc w:val="left"/>
      <w:pPr>
        <w:ind w:left="5832" w:hanging="231"/>
      </w:pPr>
      <w:rPr>
        <w:rFonts w:hint="default"/>
        <w:lang w:val="es-ES" w:eastAsia="es-ES" w:bidi="es-ES"/>
      </w:rPr>
    </w:lvl>
    <w:lvl w:ilvl="7">
      <w:start w:val="0"/>
      <w:numFmt w:val="bullet"/>
      <w:lvlText w:val="•"/>
      <w:lvlJc w:val="left"/>
      <w:pPr>
        <w:ind w:left="6784" w:hanging="231"/>
      </w:pPr>
      <w:rPr>
        <w:rFonts w:hint="default"/>
        <w:lang w:val="es-ES" w:eastAsia="es-ES" w:bidi="es-ES"/>
      </w:rPr>
    </w:lvl>
    <w:lvl w:ilvl="8">
      <w:start w:val="0"/>
      <w:numFmt w:val="bullet"/>
      <w:lvlText w:val="•"/>
      <w:lvlJc w:val="left"/>
      <w:pPr>
        <w:ind w:left="7736" w:hanging="231"/>
      </w:pPr>
      <w:rPr>
        <w:rFonts w:hint="default"/>
        <w:lang w:val="es-ES" w:eastAsia="es-ES" w:bidi="es-ES"/>
      </w:rPr>
    </w:lvl>
  </w:abstractNum>
  <w:abstractNum w:abstractNumId="59">
    <w:multiLevelType w:val="hybridMultilevel"/>
    <w:lvl w:ilvl="0">
      <w:start w:val="1"/>
      <w:numFmt w:val="upperRoman"/>
      <w:lvlText w:val="%1."/>
      <w:lvlJc w:val="left"/>
      <w:pPr>
        <w:ind w:left="1198" w:hanging="7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044" w:hanging="792"/>
      </w:pPr>
      <w:rPr>
        <w:rFonts w:hint="default"/>
        <w:lang w:val="es-ES" w:eastAsia="es-ES" w:bidi="es-ES"/>
      </w:rPr>
    </w:lvl>
    <w:lvl w:ilvl="2">
      <w:start w:val="0"/>
      <w:numFmt w:val="bullet"/>
      <w:lvlText w:val="•"/>
      <w:lvlJc w:val="left"/>
      <w:pPr>
        <w:ind w:left="2888" w:hanging="792"/>
      </w:pPr>
      <w:rPr>
        <w:rFonts w:hint="default"/>
        <w:lang w:val="es-ES" w:eastAsia="es-ES" w:bidi="es-ES"/>
      </w:rPr>
    </w:lvl>
    <w:lvl w:ilvl="3">
      <w:start w:val="0"/>
      <w:numFmt w:val="bullet"/>
      <w:lvlText w:val="•"/>
      <w:lvlJc w:val="left"/>
      <w:pPr>
        <w:ind w:left="3732" w:hanging="792"/>
      </w:pPr>
      <w:rPr>
        <w:rFonts w:hint="default"/>
        <w:lang w:val="es-ES" w:eastAsia="es-ES" w:bidi="es-ES"/>
      </w:rPr>
    </w:lvl>
    <w:lvl w:ilvl="4">
      <w:start w:val="0"/>
      <w:numFmt w:val="bullet"/>
      <w:lvlText w:val="•"/>
      <w:lvlJc w:val="left"/>
      <w:pPr>
        <w:ind w:left="4576" w:hanging="792"/>
      </w:pPr>
      <w:rPr>
        <w:rFonts w:hint="default"/>
        <w:lang w:val="es-ES" w:eastAsia="es-ES" w:bidi="es-ES"/>
      </w:rPr>
    </w:lvl>
    <w:lvl w:ilvl="5">
      <w:start w:val="0"/>
      <w:numFmt w:val="bullet"/>
      <w:lvlText w:val="•"/>
      <w:lvlJc w:val="left"/>
      <w:pPr>
        <w:ind w:left="5420" w:hanging="792"/>
      </w:pPr>
      <w:rPr>
        <w:rFonts w:hint="default"/>
        <w:lang w:val="es-ES" w:eastAsia="es-ES" w:bidi="es-ES"/>
      </w:rPr>
    </w:lvl>
    <w:lvl w:ilvl="6">
      <w:start w:val="0"/>
      <w:numFmt w:val="bullet"/>
      <w:lvlText w:val="•"/>
      <w:lvlJc w:val="left"/>
      <w:pPr>
        <w:ind w:left="6264" w:hanging="792"/>
      </w:pPr>
      <w:rPr>
        <w:rFonts w:hint="default"/>
        <w:lang w:val="es-ES" w:eastAsia="es-ES" w:bidi="es-ES"/>
      </w:rPr>
    </w:lvl>
    <w:lvl w:ilvl="7">
      <w:start w:val="0"/>
      <w:numFmt w:val="bullet"/>
      <w:lvlText w:val="•"/>
      <w:lvlJc w:val="left"/>
      <w:pPr>
        <w:ind w:left="7108" w:hanging="792"/>
      </w:pPr>
      <w:rPr>
        <w:rFonts w:hint="default"/>
        <w:lang w:val="es-ES" w:eastAsia="es-ES" w:bidi="es-ES"/>
      </w:rPr>
    </w:lvl>
    <w:lvl w:ilvl="8">
      <w:start w:val="0"/>
      <w:numFmt w:val="bullet"/>
      <w:lvlText w:val="•"/>
      <w:lvlJc w:val="left"/>
      <w:pPr>
        <w:ind w:left="7952" w:hanging="792"/>
      </w:pPr>
      <w:rPr>
        <w:rFonts w:hint="default"/>
        <w:lang w:val="es-ES" w:eastAsia="es-ES" w:bidi="es-ES"/>
      </w:rPr>
    </w:lvl>
  </w:abstractNum>
  <w:abstractNum w:abstractNumId="58">
    <w:multiLevelType w:val="hybridMultilevel"/>
    <w:lvl w:ilvl="0">
      <w:start w:val="1"/>
      <w:numFmt w:val="lowerLetter"/>
      <w:lvlText w:val="%1."/>
      <w:lvlJc w:val="left"/>
      <w:pPr>
        <w:ind w:left="1198" w:hanging="792"/>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1198" w:hanging="79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888" w:hanging="792"/>
      </w:pPr>
      <w:rPr>
        <w:rFonts w:hint="default"/>
        <w:lang w:val="es-ES" w:eastAsia="es-ES" w:bidi="es-ES"/>
      </w:rPr>
    </w:lvl>
    <w:lvl w:ilvl="3">
      <w:start w:val="0"/>
      <w:numFmt w:val="bullet"/>
      <w:lvlText w:val="•"/>
      <w:lvlJc w:val="left"/>
      <w:pPr>
        <w:ind w:left="3732" w:hanging="792"/>
      </w:pPr>
      <w:rPr>
        <w:rFonts w:hint="default"/>
        <w:lang w:val="es-ES" w:eastAsia="es-ES" w:bidi="es-ES"/>
      </w:rPr>
    </w:lvl>
    <w:lvl w:ilvl="4">
      <w:start w:val="0"/>
      <w:numFmt w:val="bullet"/>
      <w:lvlText w:val="•"/>
      <w:lvlJc w:val="left"/>
      <w:pPr>
        <w:ind w:left="4576" w:hanging="792"/>
      </w:pPr>
      <w:rPr>
        <w:rFonts w:hint="default"/>
        <w:lang w:val="es-ES" w:eastAsia="es-ES" w:bidi="es-ES"/>
      </w:rPr>
    </w:lvl>
    <w:lvl w:ilvl="5">
      <w:start w:val="0"/>
      <w:numFmt w:val="bullet"/>
      <w:lvlText w:val="•"/>
      <w:lvlJc w:val="left"/>
      <w:pPr>
        <w:ind w:left="5420" w:hanging="792"/>
      </w:pPr>
      <w:rPr>
        <w:rFonts w:hint="default"/>
        <w:lang w:val="es-ES" w:eastAsia="es-ES" w:bidi="es-ES"/>
      </w:rPr>
    </w:lvl>
    <w:lvl w:ilvl="6">
      <w:start w:val="0"/>
      <w:numFmt w:val="bullet"/>
      <w:lvlText w:val="•"/>
      <w:lvlJc w:val="left"/>
      <w:pPr>
        <w:ind w:left="6264" w:hanging="792"/>
      </w:pPr>
      <w:rPr>
        <w:rFonts w:hint="default"/>
        <w:lang w:val="es-ES" w:eastAsia="es-ES" w:bidi="es-ES"/>
      </w:rPr>
    </w:lvl>
    <w:lvl w:ilvl="7">
      <w:start w:val="0"/>
      <w:numFmt w:val="bullet"/>
      <w:lvlText w:val="•"/>
      <w:lvlJc w:val="left"/>
      <w:pPr>
        <w:ind w:left="7108" w:hanging="792"/>
      </w:pPr>
      <w:rPr>
        <w:rFonts w:hint="default"/>
        <w:lang w:val="es-ES" w:eastAsia="es-ES" w:bidi="es-ES"/>
      </w:rPr>
    </w:lvl>
    <w:lvl w:ilvl="8">
      <w:start w:val="0"/>
      <w:numFmt w:val="bullet"/>
      <w:lvlText w:val="•"/>
      <w:lvlJc w:val="left"/>
      <w:pPr>
        <w:ind w:left="7952" w:hanging="792"/>
      </w:pPr>
      <w:rPr>
        <w:rFonts w:hint="default"/>
        <w:lang w:val="es-ES" w:eastAsia="es-ES" w:bidi="es-ES"/>
      </w:rPr>
    </w:lvl>
  </w:abstractNum>
  <w:abstractNum w:abstractNumId="57">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56">
    <w:multiLevelType w:val="hybridMultilevel"/>
    <w:lvl w:ilvl="0">
      <w:start w:val="1"/>
      <w:numFmt w:val="upperRoman"/>
      <w:lvlText w:val="%1."/>
      <w:lvlJc w:val="left"/>
      <w:pPr>
        <w:ind w:left="83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92"/>
      </w:pPr>
      <w:rPr>
        <w:rFonts w:hint="default"/>
        <w:lang w:val="es-ES" w:eastAsia="es-ES" w:bidi="es-ES"/>
      </w:rPr>
    </w:lvl>
    <w:lvl w:ilvl="2">
      <w:start w:val="0"/>
      <w:numFmt w:val="bullet"/>
      <w:lvlText w:val="•"/>
      <w:lvlJc w:val="left"/>
      <w:pPr>
        <w:ind w:left="2600" w:hanging="192"/>
      </w:pPr>
      <w:rPr>
        <w:rFonts w:hint="default"/>
        <w:lang w:val="es-ES" w:eastAsia="es-ES" w:bidi="es-ES"/>
      </w:rPr>
    </w:lvl>
    <w:lvl w:ilvl="3">
      <w:start w:val="0"/>
      <w:numFmt w:val="bullet"/>
      <w:lvlText w:val="•"/>
      <w:lvlJc w:val="left"/>
      <w:pPr>
        <w:ind w:left="3480" w:hanging="192"/>
      </w:pPr>
      <w:rPr>
        <w:rFonts w:hint="default"/>
        <w:lang w:val="es-ES" w:eastAsia="es-ES" w:bidi="es-ES"/>
      </w:rPr>
    </w:lvl>
    <w:lvl w:ilvl="4">
      <w:start w:val="0"/>
      <w:numFmt w:val="bullet"/>
      <w:lvlText w:val="•"/>
      <w:lvlJc w:val="left"/>
      <w:pPr>
        <w:ind w:left="4360" w:hanging="192"/>
      </w:pPr>
      <w:rPr>
        <w:rFonts w:hint="default"/>
        <w:lang w:val="es-ES" w:eastAsia="es-ES" w:bidi="es-ES"/>
      </w:rPr>
    </w:lvl>
    <w:lvl w:ilvl="5">
      <w:start w:val="0"/>
      <w:numFmt w:val="bullet"/>
      <w:lvlText w:val="•"/>
      <w:lvlJc w:val="left"/>
      <w:pPr>
        <w:ind w:left="5240" w:hanging="192"/>
      </w:pPr>
      <w:rPr>
        <w:rFonts w:hint="default"/>
        <w:lang w:val="es-ES" w:eastAsia="es-ES" w:bidi="es-ES"/>
      </w:rPr>
    </w:lvl>
    <w:lvl w:ilvl="6">
      <w:start w:val="0"/>
      <w:numFmt w:val="bullet"/>
      <w:lvlText w:val="•"/>
      <w:lvlJc w:val="left"/>
      <w:pPr>
        <w:ind w:left="6120" w:hanging="192"/>
      </w:pPr>
      <w:rPr>
        <w:rFonts w:hint="default"/>
        <w:lang w:val="es-ES" w:eastAsia="es-ES" w:bidi="es-ES"/>
      </w:rPr>
    </w:lvl>
    <w:lvl w:ilvl="7">
      <w:start w:val="0"/>
      <w:numFmt w:val="bullet"/>
      <w:lvlText w:val="•"/>
      <w:lvlJc w:val="left"/>
      <w:pPr>
        <w:ind w:left="7000" w:hanging="192"/>
      </w:pPr>
      <w:rPr>
        <w:rFonts w:hint="default"/>
        <w:lang w:val="es-ES" w:eastAsia="es-ES" w:bidi="es-ES"/>
      </w:rPr>
    </w:lvl>
    <w:lvl w:ilvl="8">
      <w:start w:val="0"/>
      <w:numFmt w:val="bullet"/>
      <w:lvlText w:val="•"/>
      <w:lvlJc w:val="left"/>
      <w:pPr>
        <w:ind w:left="7880" w:hanging="192"/>
      </w:pPr>
      <w:rPr>
        <w:rFonts w:hint="default"/>
        <w:lang w:val="es-ES" w:eastAsia="es-ES" w:bidi="es-ES"/>
      </w:rPr>
    </w:lvl>
  </w:abstractNum>
  <w:abstractNum w:abstractNumId="55">
    <w:multiLevelType w:val="hybridMultilevel"/>
    <w:lvl w:ilvl="0">
      <w:start w:val="1"/>
      <w:numFmt w:val="upperRoman"/>
      <w:lvlText w:val="%1."/>
      <w:lvlJc w:val="left"/>
      <w:pPr>
        <w:ind w:left="83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92"/>
      </w:pPr>
      <w:rPr>
        <w:rFonts w:hint="default"/>
        <w:lang w:val="es-ES" w:eastAsia="es-ES" w:bidi="es-ES"/>
      </w:rPr>
    </w:lvl>
    <w:lvl w:ilvl="2">
      <w:start w:val="0"/>
      <w:numFmt w:val="bullet"/>
      <w:lvlText w:val="•"/>
      <w:lvlJc w:val="left"/>
      <w:pPr>
        <w:ind w:left="2600" w:hanging="192"/>
      </w:pPr>
      <w:rPr>
        <w:rFonts w:hint="default"/>
        <w:lang w:val="es-ES" w:eastAsia="es-ES" w:bidi="es-ES"/>
      </w:rPr>
    </w:lvl>
    <w:lvl w:ilvl="3">
      <w:start w:val="0"/>
      <w:numFmt w:val="bullet"/>
      <w:lvlText w:val="•"/>
      <w:lvlJc w:val="left"/>
      <w:pPr>
        <w:ind w:left="3480" w:hanging="192"/>
      </w:pPr>
      <w:rPr>
        <w:rFonts w:hint="default"/>
        <w:lang w:val="es-ES" w:eastAsia="es-ES" w:bidi="es-ES"/>
      </w:rPr>
    </w:lvl>
    <w:lvl w:ilvl="4">
      <w:start w:val="0"/>
      <w:numFmt w:val="bullet"/>
      <w:lvlText w:val="•"/>
      <w:lvlJc w:val="left"/>
      <w:pPr>
        <w:ind w:left="4360" w:hanging="192"/>
      </w:pPr>
      <w:rPr>
        <w:rFonts w:hint="default"/>
        <w:lang w:val="es-ES" w:eastAsia="es-ES" w:bidi="es-ES"/>
      </w:rPr>
    </w:lvl>
    <w:lvl w:ilvl="5">
      <w:start w:val="0"/>
      <w:numFmt w:val="bullet"/>
      <w:lvlText w:val="•"/>
      <w:lvlJc w:val="left"/>
      <w:pPr>
        <w:ind w:left="5240" w:hanging="192"/>
      </w:pPr>
      <w:rPr>
        <w:rFonts w:hint="default"/>
        <w:lang w:val="es-ES" w:eastAsia="es-ES" w:bidi="es-ES"/>
      </w:rPr>
    </w:lvl>
    <w:lvl w:ilvl="6">
      <w:start w:val="0"/>
      <w:numFmt w:val="bullet"/>
      <w:lvlText w:val="•"/>
      <w:lvlJc w:val="left"/>
      <w:pPr>
        <w:ind w:left="6120" w:hanging="192"/>
      </w:pPr>
      <w:rPr>
        <w:rFonts w:hint="default"/>
        <w:lang w:val="es-ES" w:eastAsia="es-ES" w:bidi="es-ES"/>
      </w:rPr>
    </w:lvl>
    <w:lvl w:ilvl="7">
      <w:start w:val="0"/>
      <w:numFmt w:val="bullet"/>
      <w:lvlText w:val="•"/>
      <w:lvlJc w:val="left"/>
      <w:pPr>
        <w:ind w:left="7000" w:hanging="192"/>
      </w:pPr>
      <w:rPr>
        <w:rFonts w:hint="default"/>
        <w:lang w:val="es-ES" w:eastAsia="es-ES" w:bidi="es-ES"/>
      </w:rPr>
    </w:lvl>
    <w:lvl w:ilvl="8">
      <w:start w:val="0"/>
      <w:numFmt w:val="bullet"/>
      <w:lvlText w:val="•"/>
      <w:lvlJc w:val="left"/>
      <w:pPr>
        <w:ind w:left="7880" w:hanging="192"/>
      </w:pPr>
      <w:rPr>
        <w:rFonts w:hint="default"/>
        <w:lang w:val="es-ES" w:eastAsia="es-ES" w:bidi="es-ES"/>
      </w:rPr>
    </w:lvl>
  </w:abstractNum>
  <w:abstractNum w:abstractNumId="54">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53">
    <w:multiLevelType w:val="hybridMultilevel"/>
    <w:lvl w:ilvl="0">
      <w:start w:val="1"/>
      <w:numFmt w:val="upperRoman"/>
      <w:lvlText w:val="%1."/>
      <w:lvlJc w:val="left"/>
      <w:pPr>
        <w:ind w:left="83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92"/>
      </w:pPr>
      <w:rPr>
        <w:rFonts w:hint="default"/>
        <w:lang w:val="es-ES" w:eastAsia="es-ES" w:bidi="es-ES"/>
      </w:rPr>
    </w:lvl>
    <w:lvl w:ilvl="2">
      <w:start w:val="0"/>
      <w:numFmt w:val="bullet"/>
      <w:lvlText w:val="•"/>
      <w:lvlJc w:val="left"/>
      <w:pPr>
        <w:ind w:left="2600" w:hanging="192"/>
      </w:pPr>
      <w:rPr>
        <w:rFonts w:hint="default"/>
        <w:lang w:val="es-ES" w:eastAsia="es-ES" w:bidi="es-ES"/>
      </w:rPr>
    </w:lvl>
    <w:lvl w:ilvl="3">
      <w:start w:val="0"/>
      <w:numFmt w:val="bullet"/>
      <w:lvlText w:val="•"/>
      <w:lvlJc w:val="left"/>
      <w:pPr>
        <w:ind w:left="3480" w:hanging="192"/>
      </w:pPr>
      <w:rPr>
        <w:rFonts w:hint="default"/>
        <w:lang w:val="es-ES" w:eastAsia="es-ES" w:bidi="es-ES"/>
      </w:rPr>
    </w:lvl>
    <w:lvl w:ilvl="4">
      <w:start w:val="0"/>
      <w:numFmt w:val="bullet"/>
      <w:lvlText w:val="•"/>
      <w:lvlJc w:val="left"/>
      <w:pPr>
        <w:ind w:left="4360" w:hanging="192"/>
      </w:pPr>
      <w:rPr>
        <w:rFonts w:hint="default"/>
        <w:lang w:val="es-ES" w:eastAsia="es-ES" w:bidi="es-ES"/>
      </w:rPr>
    </w:lvl>
    <w:lvl w:ilvl="5">
      <w:start w:val="0"/>
      <w:numFmt w:val="bullet"/>
      <w:lvlText w:val="•"/>
      <w:lvlJc w:val="left"/>
      <w:pPr>
        <w:ind w:left="5240" w:hanging="192"/>
      </w:pPr>
      <w:rPr>
        <w:rFonts w:hint="default"/>
        <w:lang w:val="es-ES" w:eastAsia="es-ES" w:bidi="es-ES"/>
      </w:rPr>
    </w:lvl>
    <w:lvl w:ilvl="6">
      <w:start w:val="0"/>
      <w:numFmt w:val="bullet"/>
      <w:lvlText w:val="•"/>
      <w:lvlJc w:val="left"/>
      <w:pPr>
        <w:ind w:left="6120" w:hanging="192"/>
      </w:pPr>
      <w:rPr>
        <w:rFonts w:hint="default"/>
        <w:lang w:val="es-ES" w:eastAsia="es-ES" w:bidi="es-ES"/>
      </w:rPr>
    </w:lvl>
    <w:lvl w:ilvl="7">
      <w:start w:val="0"/>
      <w:numFmt w:val="bullet"/>
      <w:lvlText w:val="•"/>
      <w:lvlJc w:val="left"/>
      <w:pPr>
        <w:ind w:left="7000" w:hanging="192"/>
      </w:pPr>
      <w:rPr>
        <w:rFonts w:hint="default"/>
        <w:lang w:val="es-ES" w:eastAsia="es-ES" w:bidi="es-ES"/>
      </w:rPr>
    </w:lvl>
    <w:lvl w:ilvl="8">
      <w:start w:val="0"/>
      <w:numFmt w:val="bullet"/>
      <w:lvlText w:val="•"/>
      <w:lvlJc w:val="left"/>
      <w:pPr>
        <w:ind w:left="7880" w:hanging="192"/>
      </w:pPr>
      <w:rPr>
        <w:rFonts w:hint="default"/>
        <w:lang w:val="es-ES" w:eastAsia="es-ES" w:bidi="es-ES"/>
      </w:rPr>
    </w:lvl>
  </w:abstractNum>
  <w:abstractNum w:abstractNumId="52">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51">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50">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49">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48">
    <w:multiLevelType w:val="hybridMultilevel"/>
    <w:lvl w:ilvl="0">
      <w:start w:val="1"/>
      <w:numFmt w:val="upperRoman"/>
      <w:lvlText w:val="%1."/>
      <w:lvlJc w:val="left"/>
      <w:pPr>
        <w:ind w:left="951" w:hanging="545"/>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838" w:hanging="20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924" w:hanging="207"/>
      </w:pPr>
      <w:rPr>
        <w:rFonts w:hint="default"/>
        <w:lang w:val="es-ES" w:eastAsia="es-ES" w:bidi="es-ES"/>
      </w:rPr>
    </w:lvl>
    <w:lvl w:ilvl="3">
      <w:start w:val="0"/>
      <w:numFmt w:val="bullet"/>
      <w:lvlText w:val="•"/>
      <w:lvlJc w:val="left"/>
      <w:pPr>
        <w:ind w:left="2888" w:hanging="207"/>
      </w:pPr>
      <w:rPr>
        <w:rFonts w:hint="default"/>
        <w:lang w:val="es-ES" w:eastAsia="es-ES" w:bidi="es-ES"/>
      </w:rPr>
    </w:lvl>
    <w:lvl w:ilvl="4">
      <w:start w:val="0"/>
      <w:numFmt w:val="bullet"/>
      <w:lvlText w:val="•"/>
      <w:lvlJc w:val="left"/>
      <w:pPr>
        <w:ind w:left="3853" w:hanging="207"/>
      </w:pPr>
      <w:rPr>
        <w:rFonts w:hint="default"/>
        <w:lang w:val="es-ES" w:eastAsia="es-ES" w:bidi="es-ES"/>
      </w:rPr>
    </w:lvl>
    <w:lvl w:ilvl="5">
      <w:start w:val="0"/>
      <w:numFmt w:val="bullet"/>
      <w:lvlText w:val="•"/>
      <w:lvlJc w:val="left"/>
      <w:pPr>
        <w:ind w:left="4817" w:hanging="207"/>
      </w:pPr>
      <w:rPr>
        <w:rFonts w:hint="default"/>
        <w:lang w:val="es-ES" w:eastAsia="es-ES" w:bidi="es-ES"/>
      </w:rPr>
    </w:lvl>
    <w:lvl w:ilvl="6">
      <w:start w:val="0"/>
      <w:numFmt w:val="bullet"/>
      <w:lvlText w:val="•"/>
      <w:lvlJc w:val="left"/>
      <w:pPr>
        <w:ind w:left="5782" w:hanging="207"/>
      </w:pPr>
      <w:rPr>
        <w:rFonts w:hint="default"/>
        <w:lang w:val="es-ES" w:eastAsia="es-ES" w:bidi="es-ES"/>
      </w:rPr>
    </w:lvl>
    <w:lvl w:ilvl="7">
      <w:start w:val="0"/>
      <w:numFmt w:val="bullet"/>
      <w:lvlText w:val="•"/>
      <w:lvlJc w:val="left"/>
      <w:pPr>
        <w:ind w:left="6746" w:hanging="207"/>
      </w:pPr>
      <w:rPr>
        <w:rFonts w:hint="default"/>
        <w:lang w:val="es-ES" w:eastAsia="es-ES" w:bidi="es-ES"/>
      </w:rPr>
    </w:lvl>
    <w:lvl w:ilvl="8">
      <w:start w:val="0"/>
      <w:numFmt w:val="bullet"/>
      <w:lvlText w:val="•"/>
      <w:lvlJc w:val="left"/>
      <w:pPr>
        <w:ind w:left="7711" w:hanging="207"/>
      </w:pPr>
      <w:rPr>
        <w:rFonts w:hint="default"/>
        <w:lang w:val="es-ES" w:eastAsia="es-ES" w:bidi="es-ES"/>
      </w:rPr>
    </w:lvl>
  </w:abstractNum>
  <w:abstractNum w:abstractNumId="47">
    <w:multiLevelType w:val="hybridMultilevel"/>
    <w:lvl w:ilvl="0">
      <w:start w:val="1"/>
      <w:numFmt w:val="upperRoman"/>
      <w:lvlText w:val="%1."/>
      <w:lvlJc w:val="left"/>
      <w:pPr>
        <w:ind w:left="838" w:hanging="204"/>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04"/>
      </w:pPr>
      <w:rPr>
        <w:rFonts w:hint="default"/>
        <w:lang w:val="es-ES" w:eastAsia="es-ES" w:bidi="es-ES"/>
      </w:rPr>
    </w:lvl>
    <w:lvl w:ilvl="2">
      <w:start w:val="0"/>
      <w:numFmt w:val="bullet"/>
      <w:lvlText w:val="•"/>
      <w:lvlJc w:val="left"/>
      <w:pPr>
        <w:ind w:left="2600" w:hanging="204"/>
      </w:pPr>
      <w:rPr>
        <w:rFonts w:hint="default"/>
        <w:lang w:val="es-ES" w:eastAsia="es-ES" w:bidi="es-ES"/>
      </w:rPr>
    </w:lvl>
    <w:lvl w:ilvl="3">
      <w:start w:val="0"/>
      <w:numFmt w:val="bullet"/>
      <w:lvlText w:val="•"/>
      <w:lvlJc w:val="left"/>
      <w:pPr>
        <w:ind w:left="3480" w:hanging="204"/>
      </w:pPr>
      <w:rPr>
        <w:rFonts w:hint="default"/>
        <w:lang w:val="es-ES" w:eastAsia="es-ES" w:bidi="es-ES"/>
      </w:rPr>
    </w:lvl>
    <w:lvl w:ilvl="4">
      <w:start w:val="0"/>
      <w:numFmt w:val="bullet"/>
      <w:lvlText w:val="•"/>
      <w:lvlJc w:val="left"/>
      <w:pPr>
        <w:ind w:left="4360" w:hanging="204"/>
      </w:pPr>
      <w:rPr>
        <w:rFonts w:hint="default"/>
        <w:lang w:val="es-ES" w:eastAsia="es-ES" w:bidi="es-ES"/>
      </w:rPr>
    </w:lvl>
    <w:lvl w:ilvl="5">
      <w:start w:val="0"/>
      <w:numFmt w:val="bullet"/>
      <w:lvlText w:val="•"/>
      <w:lvlJc w:val="left"/>
      <w:pPr>
        <w:ind w:left="5240" w:hanging="204"/>
      </w:pPr>
      <w:rPr>
        <w:rFonts w:hint="default"/>
        <w:lang w:val="es-ES" w:eastAsia="es-ES" w:bidi="es-ES"/>
      </w:rPr>
    </w:lvl>
    <w:lvl w:ilvl="6">
      <w:start w:val="0"/>
      <w:numFmt w:val="bullet"/>
      <w:lvlText w:val="•"/>
      <w:lvlJc w:val="left"/>
      <w:pPr>
        <w:ind w:left="6120" w:hanging="204"/>
      </w:pPr>
      <w:rPr>
        <w:rFonts w:hint="default"/>
        <w:lang w:val="es-ES" w:eastAsia="es-ES" w:bidi="es-ES"/>
      </w:rPr>
    </w:lvl>
    <w:lvl w:ilvl="7">
      <w:start w:val="0"/>
      <w:numFmt w:val="bullet"/>
      <w:lvlText w:val="•"/>
      <w:lvlJc w:val="left"/>
      <w:pPr>
        <w:ind w:left="7000" w:hanging="204"/>
      </w:pPr>
      <w:rPr>
        <w:rFonts w:hint="default"/>
        <w:lang w:val="es-ES" w:eastAsia="es-ES" w:bidi="es-ES"/>
      </w:rPr>
    </w:lvl>
    <w:lvl w:ilvl="8">
      <w:start w:val="0"/>
      <w:numFmt w:val="bullet"/>
      <w:lvlText w:val="•"/>
      <w:lvlJc w:val="left"/>
      <w:pPr>
        <w:ind w:left="7880" w:hanging="204"/>
      </w:pPr>
      <w:rPr>
        <w:rFonts w:hint="default"/>
        <w:lang w:val="es-ES" w:eastAsia="es-ES" w:bidi="es-ES"/>
      </w:rPr>
    </w:lvl>
  </w:abstractNum>
  <w:abstractNum w:abstractNumId="46">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45">
    <w:multiLevelType w:val="hybridMultilevel"/>
    <w:lvl w:ilvl="0">
      <w:start w:val="1"/>
      <w:numFmt w:val="upperRoman"/>
      <w:lvlText w:val="%1."/>
      <w:lvlJc w:val="left"/>
      <w:pPr>
        <w:ind w:left="83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92"/>
      </w:pPr>
      <w:rPr>
        <w:rFonts w:hint="default"/>
        <w:lang w:val="es-ES" w:eastAsia="es-ES" w:bidi="es-ES"/>
      </w:rPr>
    </w:lvl>
    <w:lvl w:ilvl="2">
      <w:start w:val="0"/>
      <w:numFmt w:val="bullet"/>
      <w:lvlText w:val="•"/>
      <w:lvlJc w:val="left"/>
      <w:pPr>
        <w:ind w:left="2600" w:hanging="192"/>
      </w:pPr>
      <w:rPr>
        <w:rFonts w:hint="default"/>
        <w:lang w:val="es-ES" w:eastAsia="es-ES" w:bidi="es-ES"/>
      </w:rPr>
    </w:lvl>
    <w:lvl w:ilvl="3">
      <w:start w:val="0"/>
      <w:numFmt w:val="bullet"/>
      <w:lvlText w:val="•"/>
      <w:lvlJc w:val="left"/>
      <w:pPr>
        <w:ind w:left="3480" w:hanging="192"/>
      </w:pPr>
      <w:rPr>
        <w:rFonts w:hint="default"/>
        <w:lang w:val="es-ES" w:eastAsia="es-ES" w:bidi="es-ES"/>
      </w:rPr>
    </w:lvl>
    <w:lvl w:ilvl="4">
      <w:start w:val="0"/>
      <w:numFmt w:val="bullet"/>
      <w:lvlText w:val="•"/>
      <w:lvlJc w:val="left"/>
      <w:pPr>
        <w:ind w:left="4360" w:hanging="192"/>
      </w:pPr>
      <w:rPr>
        <w:rFonts w:hint="default"/>
        <w:lang w:val="es-ES" w:eastAsia="es-ES" w:bidi="es-ES"/>
      </w:rPr>
    </w:lvl>
    <w:lvl w:ilvl="5">
      <w:start w:val="0"/>
      <w:numFmt w:val="bullet"/>
      <w:lvlText w:val="•"/>
      <w:lvlJc w:val="left"/>
      <w:pPr>
        <w:ind w:left="5240" w:hanging="192"/>
      </w:pPr>
      <w:rPr>
        <w:rFonts w:hint="default"/>
        <w:lang w:val="es-ES" w:eastAsia="es-ES" w:bidi="es-ES"/>
      </w:rPr>
    </w:lvl>
    <w:lvl w:ilvl="6">
      <w:start w:val="0"/>
      <w:numFmt w:val="bullet"/>
      <w:lvlText w:val="•"/>
      <w:lvlJc w:val="left"/>
      <w:pPr>
        <w:ind w:left="6120" w:hanging="192"/>
      </w:pPr>
      <w:rPr>
        <w:rFonts w:hint="default"/>
        <w:lang w:val="es-ES" w:eastAsia="es-ES" w:bidi="es-ES"/>
      </w:rPr>
    </w:lvl>
    <w:lvl w:ilvl="7">
      <w:start w:val="0"/>
      <w:numFmt w:val="bullet"/>
      <w:lvlText w:val="•"/>
      <w:lvlJc w:val="left"/>
      <w:pPr>
        <w:ind w:left="7000" w:hanging="192"/>
      </w:pPr>
      <w:rPr>
        <w:rFonts w:hint="default"/>
        <w:lang w:val="es-ES" w:eastAsia="es-ES" w:bidi="es-ES"/>
      </w:rPr>
    </w:lvl>
    <w:lvl w:ilvl="8">
      <w:start w:val="0"/>
      <w:numFmt w:val="bullet"/>
      <w:lvlText w:val="•"/>
      <w:lvlJc w:val="left"/>
      <w:pPr>
        <w:ind w:left="7880" w:hanging="192"/>
      </w:pPr>
      <w:rPr>
        <w:rFonts w:hint="default"/>
        <w:lang w:val="es-ES" w:eastAsia="es-ES" w:bidi="es-ES"/>
      </w:rPr>
    </w:lvl>
  </w:abstractNum>
  <w:abstractNum w:abstractNumId="44">
    <w:multiLevelType w:val="hybridMultilevel"/>
    <w:lvl w:ilvl="0">
      <w:start w:val="1"/>
      <w:numFmt w:val="upperRoman"/>
      <w:lvlText w:val="%1."/>
      <w:lvlJc w:val="left"/>
      <w:pPr>
        <w:ind w:left="838" w:hanging="18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85"/>
      </w:pPr>
      <w:rPr>
        <w:rFonts w:hint="default"/>
        <w:lang w:val="es-ES" w:eastAsia="es-ES" w:bidi="es-ES"/>
      </w:rPr>
    </w:lvl>
    <w:lvl w:ilvl="2">
      <w:start w:val="0"/>
      <w:numFmt w:val="bullet"/>
      <w:lvlText w:val="•"/>
      <w:lvlJc w:val="left"/>
      <w:pPr>
        <w:ind w:left="2600" w:hanging="185"/>
      </w:pPr>
      <w:rPr>
        <w:rFonts w:hint="default"/>
        <w:lang w:val="es-ES" w:eastAsia="es-ES" w:bidi="es-ES"/>
      </w:rPr>
    </w:lvl>
    <w:lvl w:ilvl="3">
      <w:start w:val="0"/>
      <w:numFmt w:val="bullet"/>
      <w:lvlText w:val="•"/>
      <w:lvlJc w:val="left"/>
      <w:pPr>
        <w:ind w:left="3480" w:hanging="185"/>
      </w:pPr>
      <w:rPr>
        <w:rFonts w:hint="default"/>
        <w:lang w:val="es-ES" w:eastAsia="es-ES" w:bidi="es-ES"/>
      </w:rPr>
    </w:lvl>
    <w:lvl w:ilvl="4">
      <w:start w:val="0"/>
      <w:numFmt w:val="bullet"/>
      <w:lvlText w:val="•"/>
      <w:lvlJc w:val="left"/>
      <w:pPr>
        <w:ind w:left="4360" w:hanging="185"/>
      </w:pPr>
      <w:rPr>
        <w:rFonts w:hint="default"/>
        <w:lang w:val="es-ES" w:eastAsia="es-ES" w:bidi="es-ES"/>
      </w:rPr>
    </w:lvl>
    <w:lvl w:ilvl="5">
      <w:start w:val="0"/>
      <w:numFmt w:val="bullet"/>
      <w:lvlText w:val="•"/>
      <w:lvlJc w:val="left"/>
      <w:pPr>
        <w:ind w:left="5240" w:hanging="185"/>
      </w:pPr>
      <w:rPr>
        <w:rFonts w:hint="default"/>
        <w:lang w:val="es-ES" w:eastAsia="es-ES" w:bidi="es-ES"/>
      </w:rPr>
    </w:lvl>
    <w:lvl w:ilvl="6">
      <w:start w:val="0"/>
      <w:numFmt w:val="bullet"/>
      <w:lvlText w:val="•"/>
      <w:lvlJc w:val="left"/>
      <w:pPr>
        <w:ind w:left="6120" w:hanging="185"/>
      </w:pPr>
      <w:rPr>
        <w:rFonts w:hint="default"/>
        <w:lang w:val="es-ES" w:eastAsia="es-ES" w:bidi="es-ES"/>
      </w:rPr>
    </w:lvl>
    <w:lvl w:ilvl="7">
      <w:start w:val="0"/>
      <w:numFmt w:val="bullet"/>
      <w:lvlText w:val="•"/>
      <w:lvlJc w:val="left"/>
      <w:pPr>
        <w:ind w:left="7000" w:hanging="185"/>
      </w:pPr>
      <w:rPr>
        <w:rFonts w:hint="default"/>
        <w:lang w:val="es-ES" w:eastAsia="es-ES" w:bidi="es-ES"/>
      </w:rPr>
    </w:lvl>
    <w:lvl w:ilvl="8">
      <w:start w:val="0"/>
      <w:numFmt w:val="bullet"/>
      <w:lvlText w:val="•"/>
      <w:lvlJc w:val="left"/>
      <w:pPr>
        <w:ind w:left="7880" w:hanging="185"/>
      </w:pPr>
      <w:rPr>
        <w:rFonts w:hint="default"/>
        <w:lang w:val="es-ES" w:eastAsia="es-ES" w:bidi="es-ES"/>
      </w:rPr>
    </w:lvl>
  </w:abstractNum>
  <w:abstractNum w:abstractNumId="43">
    <w:multiLevelType w:val="hybridMultilevel"/>
    <w:lvl w:ilvl="0">
      <w:start w:val="1"/>
      <w:numFmt w:val="upperRoman"/>
      <w:lvlText w:val="%1."/>
      <w:lvlJc w:val="left"/>
      <w:pPr>
        <w:ind w:left="838" w:hanging="21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2"/>
      </w:pPr>
      <w:rPr>
        <w:rFonts w:hint="default"/>
        <w:lang w:val="es-ES" w:eastAsia="es-ES" w:bidi="es-ES"/>
      </w:rPr>
    </w:lvl>
    <w:lvl w:ilvl="2">
      <w:start w:val="0"/>
      <w:numFmt w:val="bullet"/>
      <w:lvlText w:val="•"/>
      <w:lvlJc w:val="left"/>
      <w:pPr>
        <w:ind w:left="2600" w:hanging="212"/>
      </w:pPr>
      <w:rPr>
        <w:rFonts w:hint="default"/>
        <w:lang w:val="es-ES" w:eastAsia="es-ES" w:bidi="es-ES"/>
      </w:rPr>
    </w:lvl>
    <w:lvl w:ilvl="3">
      <w:start w:val="0"/>
      <w:numFmt w:val="bullet"/>
      <w:lvlText w:val="•"/>
      <w:lvlJc w:val="left"/>
      <w:pPr>
        <w:ind w:left="3480" w:hanging="212"/>
      </w:pPr>
      <w:rPr>
        <w:rFonts w:hint="default"/>
        <w:lang w:val="es-ES" w:eastAsia="es-ES" w:bidi="es-ES"/>
      </w:rPr>
    </w:lvl>
    <w:lvl w:ilvl="4">
      <w:start w:val="0"/>
      <w:numFmt w:val="bullet"/>
      <w:lvlText w:val="•"/>
      <w:lvlJc w:val="left"/>
      <w:pPr>
        <w:ind w:left="4360" w:hanging="212"/>
      </w:pPr>
      <w:rPr>
        <w:rFonts w:hint="default"/>
        <w:lang w:val="es-ES" w:eastAsia="es-ES" w:bidi="es-ES"/>
      </w:rPr>
    </w:lvl>
    <w:lvl w:ilvl="5">
      <w:start w:val="0"/>
      <w:numFmt w:val="bullet"/>
      <w:lvlText w:val="•"/>
      <w:lvlJc w:val="left"/>
      <w:pPr>
        <w:ind w:left="5240" w:hanging="212"/>
      </w:pPr>
      <w:rPr>
        <w:rFonts w:hint="default"/>
        <w:lang w:val="es-ES" w:eastAsia="es-ES" w:bidi="es-ES"/>
      </w:rPr>
    </w:lvl>
    <w:lvl w:ilvl="6">
      <w:start w:val="0"/>
      <w:numFmt w:val="bullet"/>
      <w:lvlText w:val="•"/>
      <w:lvlJc w:val="left"/>
      <w:pPr>
        <w:ind w:left="6120" w:hanging="212"/>
      </w:pPr>
      <w:rPr>
        <w:rFonts w:hint="default"/>
        <w:lang w:val="es-ES" w:eastAsia="es-ES" w:bidi="es-ES"/>
      </w:rPr>
    </w:lvl>
    <w:lvl w:ilvl="7">
      <w:start w:val="0"/>
      <w:numFmt w:val="bullet"/>
      <w:lvlText w:val="•"/>
      <w:lvlJc w:val="left"/>
      <w:pPr>
        <w:ind w:left="7000" w:hanging="212"/>
      </w:pPr>
      <w:rPr>
        <w:rFonts w:hint="default"/>
        <w:lang w:val="es-ES" w:eastAsia="es-ES" w:bidi="es-ES"/>
      </w:rPr>
    </w:lvl>
    <w:lvl w:ilvl="8">
      <w:start w:val="0"/>
      <w:numFmt w:val="bullet"/>
      <w:lvlText w:val="•"/>
      <w:lvlJc w:val="left"/>
      <w:pPr>
        <w:ind w:left="7880" w:hanging="212"/>
      </w:pPr>
      <w:rPr>
        <w:rFonts w:hint="default"/>
        <w:lang w:val="es-ES" w:eastAsia="es-ES" w:bidi="es-ES"/>
      </w:rPr>
    </w:lvl>
  </w:abstractNum>
  <w:abstractNum w:abstractNumId="42">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41">
    <w:multiLevelType w:val="hybridMultilevel"/>
    <w:lvl w:ilvl="0">
      <w:start w:val="1"/>
      <w:numFmt w:val="upperRoman"/>
      <w:lvlText w:val="%1."/>
      <w:lvlJc w:val="left"/>
      <w:pPr>
        <w:ind w:left="838" w:hanging="18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80"/>
      </w:pPr>
      <w:rPr>
        <w:rFonts w:hint="default"/>
        <w:lang w:val="es-ES" w:eastAsia="es-ES" w:bidi="es-ES"/>
      </w:rPr>
    </w:lvl>
    <w:lvl w:ilvl="2">
      <w:start w:val="0"/>
      <w:numFmt w:val="bullet"/>
      <w:lvlText w:val="•"/>
      <w:lvlJc w:val="left"/>
      <w:pPr>
        <w:ind w:left="2600" w:hanging="180"/>
      </w:pPr>
      <w:rPr>
        <w:rFonts w:hint="default"/>
        <w:lang w:val="es-ES" w:eastAsia="es-ES" w:bidi="es-ES"/>
      </w:rPr>
    </w:lvl>
    <w:lvl w:ilvl="3">
      <w:start w:val="0"/>
      <w:numFmt w:val="bullet"/>
      <w:lvlText w:val="•"/>
      <w:lvlJc w:val="left"/>
      <w:pPr>
        <w:ind w:left="3480" w:hanging="180"/>
      </w:pPr>
      <w:rPr>
        <w:rFonts w:hint="default"/>
        <w:lang w:val="es-ES" w:eastAsia="es-ES" w:bidi="es-ES"/>
      </w:rPr>
    </w:lvl>
    <w:lvl w:ilvl="4">
      <w:start w:val="0"/>
      <w:numFmt w:val="bullet"/>
      <w:lvlText w:val="•"/>
      <w:lvlJc w:val="left"/>
      <w:pPr>
        <w:ind w:left="4360" w:hanging="180"/>
      </w:pPr>
      <w:rPr>
        <w:rFonts w:hint="default"/>
        <w:lang w:val="es-ES" w:eastAsia="es-ES" w:bidi="es-ES"/>
      </w:rPr>
    </w:lvl>
    <w:lvl w:ilvl="5">
      <w:start w:val="0"/>
      <w:numFmt w:val="bullet"/>
      <w:lvlText w:val="•"/>
      <w:lvlJc w:val="left"/>
      <w:pPr>
        <w:ind w:left="5240" w:hanging="180"/>
      </w:pPr>
      <w:rPr>
        <w:rFonts w:hint="default"/>
        <w:lang w:val="es-ES" w:eastAsia="es-ES" w:bidi="es-ES"/>
      </w:rPr>
    </w:lvl>
    <w:lvl w:ilvl="6">
      <w:start w:val="0"/>
      <w:numFmt w:val="bullet"/>
      <w:lvlText w:val="•"/>
      <w:lvlJc w:val="left"/>
      <w:pPr>
        <w:ind w:left="6120" w:hanging="180"/>
      </w:pPr>
      <w:rPr>
        <w:rFonts w:hint="default"/>
        <w:lang w:val="es-ES" w:eastAsia="es-ES" w:bidi="es-ES"/>
      </w:rPr>
    </w:lvl>
    <w:lvl w:ilvl="7">
      <w:start w:val="0"/>
      <w:numFmt w:val="bullet"/>
      <w:lvlText w:val="•"/>
      <w:lvlJc w:val="left"/>
      <w:pPr>
        <w:ind w:left="7000" w:hanging="180"/>
      </w:pPr>
      <w:rPr>
        <w:rFonts w:hint="default"/>
        <w:lang w:val="es-ES" w:eastAsia="es-ES" w:bidi="es-ES"/>
      </w:rPr>
    </w:lvl>
    <w:lvl w:ilvl="8">
      <w:start w:val="0"/>
      <w:numFmt w:val="bullet"/>
      <w:lvlText w:val="•"/>
      <w:lvlJc w:val="left"/>
      <w:pPr>
        <w:ind w:left="7880" w:hanging="180"/>
      </w:pPr>
      <w:rPr>
        <w:rFonts w:hint="default"/>
        <w:lang w:val="es-ES" w:eastAsia="es-ES" w:bidi="es-ES"/>
      </w:rPr>
    </w:lvl>
  </w:abstractNum>
  <w:abstractNum w:abstractNumId="40">
    <w:multiLevelType w:val="hybridMultilevel"/>
    <w:lvl w:ilvl="0">
      <w:start w:val="1"/>
      <w:numFmt w:val="upperRoman"/>
      <w:lvlText w:val="%1."/>
      <w:lvlJc w:val="left"/>
      <w:pPr>
        <w:ind w:left="838" w:hanging="17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8"/>
      </w:pPr>
      <w:rPr>
        <w:rFonts w:hint="default"/>
        <w:lang w:val="es-ES" w:eastAsia="es-ES" w:bidi="es-ES"/>
      </w:rPr>
    </w:lvl>
    <w:lvl w:ilvl="2">
      <w:start w:val="0"/>
      <w:numFmt w:val="bullet"/>
      <w:lvlText w:val="•"/>
      <w:lvlJc w:val="left"/>
      <w:pPr>
        <w:ind w:left="2600" w:hanging="178"/>
      </w:pPr>
      <w:rPr>
        <w:rFonts w:hint="default"/>
        <w:lang w:val="es-ES" w:eastAsia="es-ES" w:bidi="es-ES"/>
      </w:rPr>
    </w:lvl>
    <w:lvl w:ilvl="3">
      <w:start w:val="0"/>
      <w:numFmt w:val="bullet"/>
      <w:lvlText w:val="•"/>
      <w:lvlJc w:val="left"/>
      <w:pPr>
        <w:ind w:left="3480" w:hanging="178"/>
      </w:pPr>
      <w:rPr>
        <w:rFonts w:hint="default"/>
        <w:lang w:val="es-ES" w:eastAsia="es-ES" w:bidi="es-ES"/>
      </w:rPr>
    </w:lvl>
    <w:lvl w:ilvl="4">
      <w:start w:val="0"/>
      <w:numFmt w:val="bullet"/>
      <w:lvlText w:val="•"/>
      <w:lvlJc w:val="left"/>
      <w:pPr>
        <w:ind w:left="4360" w:hanging="178"/>
      </w:pPr>
      <w:rPr>
        <w:rFonts w:hint="default"/>
        <w:lang w:val="es-ES" w:eastAsia="es-ES" w:bidi="es-ES"/>
      </w:rPr>
    </w:lvl>
    <w:lvl w:ilvl="5">
      <w:start w:val="0"/>
      <w:numFmt w:val="bullet"/>
      <w:lvlText w:val="•"/>
      <w:lvlJc w:val="left"/>
      <w:pPr>
        <w:ind w:left="5240" w:hanging="178"/>
      </w:pPr>
      <w:rPr>
        <w:rFonts w:hint="default"/>
        <w:lang w:val="es-ES" w:eastAsia="es-ES" w:bidi="es-ES"/>
      </w:rPr>
    </w:lvl>
    <w:lvl w:ilvl="6">
      <w:start w:val="0"/>
      <w:numFmt w:val="bullet"/>
      <w:lvlText w:val="•"/>
      <w:lvlJc w:val="left"/>
      <w:pPr>
        <w:ind w:left="6120" w:hanging="178"/>
      </w:pPr>
      <w:rPr>
        <w:rFonts w:hint="default"/>
        <w:lang w:val="es-ES" w:eastAsia="es-ES" w:bidi="es-ES"/>
      </w:rPr>
    </w:lvl>
    <w:lvl w:ilvl="7">
      <w:start w:val="0"/>
      <w:numFmt w:val="bullet"/>
      <w:lvlText w:val="•"/>
      <w:lvlJc w:val="left"/>
      <w:pPr>
        <w:ind w:left="7000" w:hanging="178"/>
      </w:pPr>
      <w:rPr>
        <w:rFonts w:hint="default"/>
        <w:lang w:val="es-ES" w:eastAsia="es-ES" w:bidi="es-ES"/>
      </w:rPr>
    </w:lvl>
    <w:lvl w:ilvl="8">
      <w:start w:val="0"/>
      <w:numFmt w:val="bullet"/>
      <w:lvlText w:val="•"/>
      <w:lvlJc w:val="left"/>
      <w:pPr>
        <w:ind w:left="7880" w:hanging="178"/>
      </w:pPr>
      <w:rPr>
        <w:rFonts w:hint="default"/>
        <w:lang w:val="es-ES" w:eastAsia="es-ES" w:bidi="es-ES"/>
      </w:rPr>
    </w:lvl>
  </w:abstractNum>
  <w:abstractNum w:abstractNumId="39">
    <w:multiLevelType w:val="hybridMultilevel"/>
    <w:lvl w:ilvl="0">
      <w:start w:val="1"/>
      <w:numFmt w:val="upperRoman"/>
      <w:lvlText w:val="%1."/>
      <w:lvlJc w:val="left"/>
      <w:pPr>
        <w:ind w:left="1088" w:hanging="682"/>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1004" w:hanging="166"/>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031" w:hanging="166"/>
      </w:pPr>
      <w:rPr>
        <w:rFonts w:hint="default"/>
        <w:lang w:val="es-ES" w:eastAsia="es-ES" w:bidi="es-ES"/>
      </w:rPr>
    </w:lvl>
    <w:lvl w:ilvl="3">
      <w:start w:val="0"/>
      <w:numFmt w:val="bullet"/>
      <w:lvlText w:val="•"/>
      <w:lvlJc w:val="left"/>
      <w:pPr>
        <w:ind w:left="2982" w:hanging="166"/>
      </w:pPr>
      <w:rPr>
        <w:rFonts w:hint="default"/>
        <w:lang w:val="es-ES" w:eastAsia="es-ES" w:bidi="es-ES"/>
      </w:rPr>
    </w:lvl>
    <w:lvl w:ilvl="4">
      <w:start w:val="0"/>
      <w:numFmt w:val="bullet"/>
      <w:lvlText w:val="•"/>
      <w:lvlJc w:val="left"/>
      <w:pPr>
        <w:ind w:left="3933" w:hanging="166"/>
      </w:pPr>
      <w:rPr>
        <w:rFonts w:hint="default"/>
        <w:lang w:val="es-ES" w:eastAsia="es-ES" w:bidi="es-ES"/>
      </w:rPr>
    </w:lvl>
    <w:lvl w:ilvl="5">
      <w:start w:val="0"/>
      <w:numFmt w:val="bullet"/>
      <w:lvlText w:val="•"/>
      <w:lvlJc w:val="left"/>
      <w:pPr>
        <w:ind w:left="4884" w:hanging="166"/>
      </w:pPr>
      <w:rPr>
        <w:rFonts w:hint="default"/>
        <w:lang w:val="es-ES" w:eastAsia="es-ES" w:bidi="es-ES"/>
      </w:rPr>
    </w:lvl>
    <w:lvl w:ilvl="6">
      <w:start w:val="0"/>
      <w:numFmt w:val="bullet"/>
      <w:lvlText w:val="•"/>
      <w:lvlJc w:val="left"/>
      <w:pPr>
        <w:ind w:left="5835" w:hanging="166"/>
      </w:pPr>
      <w:rPr>
        <w:rFonts w:hint="default"/>
        <w:lang w:val="es-ES" w:eastAsia="es-ES" w:bidi="es-ES"/>
      </w:rPr>
    </w:lvl>
    <w:lvl w:ilvl="7">
      <w:start w:val="0"/>
      <w:numFmt w:val="bullet"/>
      <w:lvlText w:val="•"/>
      <w:lvlJc w:val="left"/>
      <w:pPr>
        <w:ind w:left="6786" w:hanging="166"/>
      </w:pPr>
      <w:rPr>
        <w:rFonts w:hint="default"/>
        <w:lang w:val="es-ES" w:eastAsia="es-ES" w:bidi="es-ES"/>
      </w:rPr>
    </w:lvl>
    <w:lvl w:ilvl="8">
      <w:start w:val="0"/>
      <w:numFmt w:val="bullet"/>
      <w:lvlText w:val="•"/>
      <w:lvlJc w:val="left"/>
      <w:pPr>
        <w:ind w:left="7737" w:hanging="166"/>
      </w:pPr>
      <w:rPr>
        <w:rFonts w:hint="default"/>
        <w:lang w:val="es-ES" w:eastAsia="es-ES" w:bidi="es-ES"/>
      </w:rPr>
    </w:lvl>
  </w:abstractNum>
  <w:abstractNum w:abstractNumId="38">
    <w:multiLevelType w:val="hybridMultilevel"/>
    <w:lvl w:ilvl="0">
      <w:start w:val="1"/>
      <w:numFmt w:val="upperRoman"/>
      <w:lvlText w:val="%1."/>
      <w:lvlJc w:val="left"/>
      <w:pPr>
        <w:ind w:left="1088" w:hanging="68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6" w:hanging="682"/>
      </w:pPr>
      <w:rPr>
        <w:rFonts w:hint="default"/>
        <w:lang w:val="es-ES" w:eastAsia="es-ES" w:bidi="es-ES"/>
      </w:rPr>
    </w:lvl>
    <w:lvl w:ilvl="2">
      <w:start w:val="0"/>
      <w:numFmt w:val="bullet"/>
      <w:lvlText w:val="•"/>
      <w:lvlJc w:val="left"/>
      <w:pPr>
        <w:ind w:left="2792" w:hanging="682"/>
      </w:pPr>
      <w:rPr>
        <w:rFonts w:hint="default"/>
        <w:lang w:val="es-ES" w:eastAsia="es-ES" w:bidi="es-ES"/>
      </w:rPr>
    </w:lvl>
    <w:lvl w:ilvl="3">
      <w:start w:val="0"/>
      <w:numFmt w:val="bullet"/>
      <w:lvlText w:val="•"/>
      <w:lvlJc w:val="left"/>
      <w:pPr>
        <w:ind w:left="3648" w:hanging="682"/>
      </w:pPr>
      <w:rPr>
        <w:rFonts w:hint="default"/>
        <w:lang w:val="es-ES" w:eastAsia="es-ES" w:bidi="es-ES"/>
      </w:rPr>
    </w:lvl>
    <w:lvl w:ilvl="4">
      <w:start w:val="0"/>
      <w:numFmt w:val="bullet"/>
      <w:lvlText w:val="•"/>
      <w:lvlJc w:val="left"/>
      <w:pPr>
        <w:ind w:left="4504" w:hanging="682"/>
      </w:pPr>
      <w:rPr>
        <w:rFonts w:hint="default"/>
        <w:lang w:val="es-ES" w:eastAsia="es-ES" w:bidi="es-ES"/>
      </w:rPr>
    </w:lvl>
    <w:lvl w:ilvl="5">
      <w:start w:val="0"/>
      <w:numFmt w:val="bullet"/>
      <w:lvlText w:val="•"/>
      <w:lvlJc w:val="left"/>
      <w:pPr>
        <w:ind w:left="5360" w:hanging="682"/>
      </w:pPr>
      <w:rPr>
        <w:rFonts w:hint="default"/>
        <w:lang w:val="es-ES" w:eastAsia="es-ES" w:bidi="es-ES"/>
      </w:rPr>
    </w:lvl>
    <w:lvl w:ilvl="6">
      <w:start w:val="0"/>
      <w:numFmt w:val="bullet"/>
      <w:lvlText w:val="•"/>
      <w:lvlJc w:val="left"/>
      <w:pPr>
        <w:ind w:left="6216" w:hanging="682"/>
      </w:pPr>
      <w:rPr>
        <w:rFonts w:hint="default"/>
        <w:lang w:val="es-ES" w:eastAsia="es-ES" w:bidi="es-ES"/>
      </w:rPr>
    </w:lvl>
    <w:lvl w:ilvl="7">
      <w:start w:val="0"/>
      <w:numFmt w:val="bullet"/>
      <w:lvlText w:val="•"/>
      <w:lvlJc w:val="left"/>
      <w:pPr>
        <w:ind w:left="7072" w:hanging="682"/>
      </w:pPr>
      <w:rPr>
        <w:rFonts w:hint="default"/>
        <w:lang w:val="es-ES" w:eastAsia="es-ES" w:bidi="es-ES"/>
      </w:rPr>
    </w:lvl>
    <w:lvl w:ilvl="8">
      <w:start w:val="0"/>
      <w:numFmt w:val="bullet"/>
      <w:lvlText w:val="•"/>
      <w:lvlJc w:val="left"/>
      <w:pPr>
        <w:ind w:left="7928" w:hanging="682"/>
      </w:pPr>
      <w:rPr>
        <w:rFonts w:hint="default"/>
        <w:lang w:val="es-ES" w:eastAsia="es-ES" w:bidi="es-ES"/>
      </w:rPr>
    </w:lvl>
  </w:abstractNum>
  <w:abstractNum w:abstractNumId="37">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36">
    <w:multiLevelType w:val="hybridMultilevel"/>
    <w:lvl w:ilvl="0">
      <w:start w:val="1"/>
      <w:numFmt w:val="upperRoman"/>
      <w:lvlText w:val="%1."/>
      <w:lvlJc w:val="left"/>
      <w:pPr>
        <w:ind w:left="838" w:hanging="214"/>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4"/>
      </w:pPr>
      <w:rPr>
        <w:rFonts w:hint="default"/>
        <w:lang w:val="es-ES" w:eastAsia="es-ES" w:bidi="es-ES"/>
      </w:rPr>
    </w:lvl>
    <w:lvl w:ilvl="2">
      <w:start w:val="0"/>
      <w:numFmt w:val="bullet"/>
      <w:lvlText w:val="•"/>
      <w:lvlJc w:val="left"/>
      <w:pPr>
        <w:ind w:left="2600" w:hanging="214"/>
      </w:pPr>
      <w:rPr>
        <w:rFonts w:hint="default"/>
        <w:lang w:val="es-ES" w:eastAsia="es-ES" w:bidi="es-ES"/>
      </w:rPr>
    </w:lvl>
    <w:lvl w:ilvl="3">
      <w:start w:val="0"/>
      <w:numFmt w:val="bullet"/>
      <w:lvlText w:val="•"/>
      <w:lvlJc w:val="left"/>
      <w:pPr>
        <w:ind w:left="3480" w:hanging="214"/>
      </w:pPr>
      <w:rPr>
        <w:rFonts w:hint="default"/>
        <w:lang w:val="es-ES" w:eastAsia="es-ES" w:bidi="es-ES"/>
      </w:rPr>
    </w:lvl>
    <w:lvl w:ilvl="4">
      <w:start w:val="0"/>
      <w:numFmt w:val="bullet"/>
      <w:lvlText w:val="•"/>
      <w:lvlJc w:val="left"/>
      <w:pPr>
        <w:ind w:left="4360" w:hanging="214"/>
      </w:pPr>
      <w:rPr>
        <w:rFonts w:hint="default"/>
        <w:lang w:val="es-ES" w:eastAsia="es-ES" w:bidi="es-ES"/>
      </w:rPr>
    </w:lvl>
    <w:lvl w:ilvl="5">
      <w:start w:val="0"/>
      <w:numFmt w:val="bullet"/>
      <w:lvlText w:val="•"/>
      <w:lvlJc w:val="left"/>
      <w:pPr>
        <w:ind w:left="5240" w:hanging="214"/>
      </w:pPr>
      <w:rPr>
        <w:rFonts w:hint="default"/>
        <w:lang w:val="es-ES" w:eastAsia="es-ES" w:bidi="es-ES"/>
      </w:rPr>
    </w:lvl>
    <w:lvl w:ilvl="6">
      <w:start w:val="0"/>
      <w:numFmt w:val="bullet"/>
      <w:lvlText w:val="•"/>
      <w:lvlJc w:val="left"/>
      <w:pPr>
        <w:ind w:left="6120" w:hanging="214"/>
      </w:pPr>
      <w:rPr>
        <w:rFonts w:hint="default"/>
        <w:lang w:val="es-ES" w:eastAsia="es-ES" w:bidi="es-ES"/>
      </w:rPr>
    </w:lvl>
    <w:lvl w:ilvl="7">
      <w:start w:val="0"/>
      <w:numFmt w:val="bullet"/>
      <w:lvlText w:val="•"/>
      <w:lvlJc w:val="left"/>
      <w:pPr>
        <w:ind w:left="7000" w:hanging="214"/>
      </w:pPr>
      <w:rPr>
        <w:rFonts w:hint="default"/>
        <w:lang w:val="es-ES" w:eastAsia="es-ES" w:bidi="es-ES"/>
      </w:rPr>
    </w:lvl>
    <w:lvl w:ilvl="8">
      <w:start w:val="0"/>
      <w:numFmt w:val="bullet"/>
      <w:lvlText w:val="•"/>
      <w:lvlJc w:val="left"/>
      <w:pPr>
        <w:ind w:left="7880" w:hanging="214"/>
      </w:pPr>
      <w:rPr>
        <w:rFonts w:hint="default"/>
        <w:lang w:val="es-ES" w:eastAsia="es-ES" w:bidi="es-ES"/>
      </w:rPr>
    </w:lvl>
  </w:abstractNum>
  <w:abstractNum w:abstractNumId="35">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34">
    <w:multiLevelType w:val="hybridMultilevel"/>
    <w:lvl w:ilvl="0">
      <w:start w:val="1"/>
      <w:numFmt w:val="upperRoman"/>
      <w:lvlText w:val="%1."/>
      <w:lvlJc w:val="left"/>
      <w:pPr>
        <w:ind w:left="83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3"/>
      </w:pPr>
      <w:rPr>
        <w:rFonts w:hint="default"/>
        <w:lang w:val="es-ES" w:eastAsia="es-ES" w:bidi="es-ES"/>
      </w:rPr>
    </w:lvl>
    <w:lvl w:ilvl="2">
      <w:start w:val="0"/>
      <w:numFmt w:val="bullet"/>
      <w:lvlText w:val="•"/>
      <w:lvlJc w:val="left"/>
      <w:pPr>
        <w:ind w:left="2600" w:hanging="173"/>
      </w:pPr>
      <w:rPr>
        <w:rFonts w:hint="default"/>
        <w:lang w:val="es-ES" w:eastAsia="es-ES" w:bidi="es-ES"/>
      </w:rPr>
    </w:lvl>
    <w:lvl w:ilvl="3">
      <w:start w:val="0"/>
      <w:numFmt w:val="bullet"/>
      <w:lvlText w:val="•"/>
      <w:lvlJc w:val="left"/>
      <w:pPr>
        <w:ind w:left="3480" w:hanging="173"/>
      </w:pPr>
      <w:rPr>
        <w:rFonts w:hint="default"/>
        <w:lang w:val="es-ES" w:eastAsia="es-ES" w:bidi="es-ES"/>
      </w:rPr>
    </w:lvl>
    <w:lvl w:ilvl="4">
      <w:start w:val="0"/>
      <w:numFmt w:val="bullet"/>
      <w:lvlText w:val="•"/>
      <w:lvlJc w:val="left"/>
      <w:pPr>
        <w:ind w:left="4360" w:hanging="173"/>
      </w:pPr>
      <w:rPr>
        <w:rFonts w:hint="default"/>
        <w:lang w:val="es-ES" w:eastAsia="es-ES" w:bidi="es-ES"/>
      </w:rPr>
    </w:lvl>
    <w:lvl w:ilvl="5">
      <w:start w:val="0"/>
      <w:numFmt w:val="bullet"/>
      <w:lvlText w:val="•"/>
      <w:lvlJc w:val="left"/>
      <w:pPr>
        <w:ind w:left="5240" w:hanging="173"/>
      </w:pPr>
      <w:rPr>
        <w:rFonts w:hint="default"/>
        <w:lang w:val="es-ES" w:eastAsia="es-ES" w:bidi="es-ES"/>
      </w:rPr>
    </w:lvl>
    <w:lvl w:ilvl="6">
      <w:start w:val="0"/>
      <w:numFmt w:val="bullet"/>
      <w:lvlText w:val="•"/>
      <w:lvlJc w:val="left"/>
      <w:pPr>
        <w:ind w:left="6120" w:hanging="173"/>
      </w:pPr>
      <w:rPr>
        <w:rFonts w:hint="default"/>
        <w:lang w:val="es-ES" w:eastAsia="es-ES" w:bidi="es-ES"/>
      </w:rPr>
    </w:lvl>
    <w:lvl w:ilvl="7">
      <w:start w:val="0"/>
      <w:numFmt w:val="bullet"/>
      <w:lvlText w:val="•"/>
      <w:lvlJc w:val="left"/>
      <w:pPr>
        <w:ind w:left="7000" w:hanging="173"/>
      </w:pPr>
      <w:rPr>
        <w:rFonts w:hint="default"/>
        <w:lang w:val="es-ES" w:eastAsia="es-ES" w:bidi="es-ES"/>
      </w:rPr>
    </w:lvl>
    <w:lvl w:ilvl="8">
      <w:start w:val="0"/>
      <w:numFmt w:val="bullet"/>
      <w:lvlText w:val="•"/>
      <w:lvlJc w:val="left"/>
      <w:pPr>
        <w:ind w:left="7880" w:hanging="173"/>
      </w:pPr>
      <w:rPr>
        <w:rFonts w:hint="default"/>
        <w:lang w:val="es-ES" w:eastAsia="es-ES" w:bidi="es-ES"/>
      </w:rPr>
    </w:lvl>
  </w:abstractNum>
  <w:abstractNum w:abstractNumId="33">
    <w:multiLevelType w:val="hybridMultilevel"/>
    <w:lvl w:ilvl="0">
      <w:start w:val="1"/>
      <w:numFmt w:val="upperRoman"/>
      <w:lvlText w:val="%1."/>
      <w:lvlJc w:val="left"/>
      <w:pPr>
        <w:ind w:left="838" w:hanging="18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88"/>
      </w:pPr>
      <w:rPr>
        <w:rFonts w:hint="default"/>
        <w:lang w:val="es-ES" w:eastAsia="es-ES" w:bidi="es-ES"/>
      </w:rPr>
    </w:lvl>
    <w:lvl w:ilvl="2">
      <w:start w:val="0"/>
      <w:numFmt w:val="bullet"/>
      <w:lvlText w:val="•"/>
      <w:lvlJc w:val="left"/>
      <w:pPr>
        <w:ind w:left="2600" w:hanging="188"/>
      </w:pPr>
      <w:rPr>
        <w:rFonts w:hint="default"/>
        <w:lang w:val="es-ES" w:eastAsia="es-ES" w:bidi="es-ES"/>
      </w:rPr>
    </w:lvl>
    <w:lvl w:ilvl="3">
      <w:start w:val="0"/>
      <w:numFmt w:val="bullet"/>
      <w:lvlText w:val="•"/>
      <w:lvlJc w:val="left"/>
      <w:pPr>
        <w:ind w:left="3480" w:hanging="188"/>
      </w:pPr>
      <w:rPr>
        <w:rFonts w:hint="default"/>
        <w:lang w:val="es-ES" w:eastAsia="es-ES" w:bidi="es-ES"/>
      </w:rPr>
    </w:lvl>
    <w:lvl w:ilvl="4">
      <w:start w:val="0"/>
      <w:numFmt w:val="bullet"/>
      <w:lvlText w:val="•"/>
      <w:lvlJc w:val="left"/>
      <w:pPr>
        <w:ind w:left="4360" w:hanging="188"/>
      </w:pPr>
      <w:rPr>
        <w:rFonts w:hint="default"/>
        <w:lang w:val="es-ES" w:eastAsia="es-ES" w:bidi="es-ES"/>
      </w:rPr>
    </w:lvl>
    <w:lvl w:ilvl="5">
      <w:start w:val="0"/>
      <w:numFmt w:val="bullet"/>
      <w:lvlText w:val="•"/>
      <w:lvlJc w:val="left"/>
      <w:pPr>
        <w:ind w:left="5240" w:hanging="188"/>
      </w:pPr>
      <w:rPr>
        <w:rFonts w:hint="default"/>
        <w:lang w:val="es-ES" w:eastAsia="es-ES" w:bidi="es-ES"/>
      </w:rPr>
    </w:lvl>
    <w:lvl w:ilvl="6">
      <w:start w:val="0"/>
      <w:numFmt w:val="bullet"/>
      <w:lvlText w:val="•"/>
      <w:lvlJc w:val="left"/>
      <w:pPr>
        <w:ind w:left="6120" w:hanging="188"/>
      </w:pPr>
      <w:rPr>
        <w:rFonts w:hint="default"/>
        <w:lang w:val="es-ES" w:eastAsia="es-ES" w:bidi="es-ES"/>
      </w:rPr>
    </w:lvl>
    <w:lvl w:ilvl="7">
      <w:start w:val="0"/>
      <w:numFmt w:val="bullet"/>
      <w:lvlText w:val="•"/>
      <w:lvlJc w:val="left"/>
      <w:pPr>
        <w:ind w:left="7000" w:hanging="188"/>
      </w:pPr>
      <w:rPr>
        <w:rFonts w:hint="default"/>
        <w:lang w:val="es-ES" w:eastAsia="es-ES" w:bidi="es-ES"/>
      </w:rPr>
    </w:lvl>
    <w:lvl w:ilvl="8">
      <w:start w:val="0"/>
      <w:numFmt w:val="bullet"/>
      <w:lvlText w:val="•"/>
      <w:lvlJc w:val="left"/>
      <w:pPr>
        <w:ind w:left="7880" w:hanging="188"/>
      </w:pPr>
      <w:rPr>
        <w:rFonts w:hint="default"/>
        <w:lang w:val="es-ES" w:eastAsia="es-ES" w:bidi="es-ES"/>
      </w:rPr>
    </w:lvl>
  </w:abstractNum>
  <w:abstractNum w:abstractNumId="32">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31">
    <w:multiLevelType w:val="hybridMultilevel"/>
    <w:lvl w:ilvl="0">
      <w:start w:val="1"/>
      <w:numFmt w:val="upperRoman"/>
      <w:lvlText w:val="%1."/>
      <w:lvlJc w:val="left"/>
      <w:pPr>
        <w:ind w:left="838" w:hanging="17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6"/>
      </w:pPr>
      <w:rPr>
        <w:rFonts w:hint="default"/>
        <w:lang w:val="es-ES" w:eastAsia="es-ES" w:bidi="es-ES"/>
      </w:rPr>
    </w:lvl>
    <w:lvl w:ilvl="2">
      <w:start w:val="0"/>
      <w:numFmt w:val="bullet"/>
      <w:lvlText w:val="•"/>
      <w:lvlJc w:val="left"/>
      <w:pPr>
        <w:ind w:left="2600" w:hanging="176"/>
      </w:pPr>
      <w:rPr>
        <w:rFonts w:hint="default"/>
        <w:lang w:val="es-ES" w:eastAsia="es-ES" w:bidi="es-ES"/>
      </w:rPr>
    </w:lvl>
    <w:lvl w:ilvl="3">
      <w:start w:val="0"/>
      <w:numFmt w:val="bullet"/>
      <w:lvlText w:val="•"/>
      <w:lvlJc w:val="left"/>
      <w:pPr>
        <w:ind w:left="3480" w:hanging="176"/>
      </w:pPr>
      <w:rPr>
        <w:rFonts w:hint="default"/>
        <w:lang w:val="es-ES" w:eastAsia="es-ES" w:bidi="es-ES"/>
      </w:rPr>
    </w:lvl>
    <w:lvl w:ilvl="4">
      <w:start w:val="0"/>
      <w:numFmt w:val="bullet"/>
      <w:lvlText w:val="•"/>
      <w:lvlJc w:val="left"/>
      <w:pPr>
        <w:ind w:left="4360" w:hanging="176"/>
      </w:pPr>
      <w:rPr>
        <w:rFonts w:hint="default"/>
        <w:lang w:val="es-ES" w:eastAsia="es-ES" w:bidi="es-ES"/>
      </w:rPr>
    </w:lvl>
    <w:lvl w:ilvl="5">
      <w:start w:val="0"/>
      <w:numFmt w:val="bullet"/>
      <w:lvlText w:val="•"/>
      <w:lvlJc w:val="left"/>
      <w:pPr>
        <w:ind w:left="5240" w:hanging="176"/>
      </w:pPr>
      <w:rPr>
        <w:rFonts w:hint="default"/>
        <w:lang w:val="es-ES" w:eastAsia="es-ES" w:bidi="es-ES"/>
      </w:rPr>
    </w:lvl>
    <w:lvl w:ilvl="6">
      <w:start w:val="0"/>
      <w:numFmt w:val="bullet"/>
      <w:lvlText w:val="•"/>
      <w:lvlJc w:val="left"/>
      <w:pPr>
        <w:ind w:left="6120" w:hanging="176"/>
      </w:pPr>
      <w:rPr>
        <w:rFonts w:hint="default"/>
        <w:lang w:val="es-ES" w:eastAsia="es-ES" w:bidi="es-ES"/>
      </w:rPr>
    </w:lvl>
    <w:lvl w:ilvl="7">
      <w:start w:val="0"/>
      <w:numFmt w:val="bullet"/>
      <w:lvlText w:val="•"/>
      <w:lvlJc w:val="left"/>
      <w:pPr>
        <w:ind w:left="7000" w:hanging="176"/>
      </w:pPr>
      <w:rPr>
        <w:rFonts w:hint="default"/>
        <w:lang w:val="es-ES" w:eastAsia="es-ES" w:bidi="es-ES"/>
      </w:rPr>
    </w:lvl>
    <w:lvl w:ilvl="8">
      <w:start w:val="0"/>
      <w:numFmt w:val="bullet"/>
      <w:lvlText w:val="•"/>
      <w:lvlJc w:val="left"/>
      <w:pPr>
        <w:ind w:left="7880" w:hanging="176"/>
      </w:pPr>
      <w:rPr>
        <w:rFonts w:hint="default"/>
        <w:lang w:val="es-ES" w:eastAsia="es-ES" w:bidi="es-ES"/>
      </w:rPr>
    </w:lvl>
  </w:abstractNum>
  <w:abstractNum w:abstractNumId="30">
    <w:multiLevelType w:val="hybridMultilevel"/>
    <w:lvl w:ilvl="0">
      <w:start w:val="1"/>
      <w:numFmt w:val="upperRoman"/>
      <w:lvlText w:val="%1."/>
      <w:lvlJc w:val="left"/>
      <w:pPr>
        <w:ind w:left="838" w:hanging="17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8"/>
      </w:pPr>
      <w:rPr>
        <w:rFonts w:hint="default"/>
        <w:lang w:val="es-ES" w:eastAsia="es-ES" w:bidi="es-ES"/>
      </w:rPr>
    </w:lvl>
    <w:lvl w:ilvl="2">
      <w:start w:val="0"/>
      <w:numFmt w:val="bullet"/>
      <w:lvlText w:val="•"/>
      <w:lvlJc w:val="left"/>
      <w:pPr>
        <w:ind w:left="2600" w:hanging="178"/>
      </w:pPr>
      <w:rPr>
        <w:rFonts w:hint="default"/>
        <w:lang w:val="es-ES" w:eastAsia="es-ES" w:bidi="es-ES"/>
      </w:rPr>
    </w:lvl>
    <w:lvl w:ilvl="3">
      <w:start w:val="0"/>
      <w:numFmt w:val="bullet"/>
      <w:lvlText w:val="•"/>
      <w:lvlJc w:val="left"/>
      <w:pPr>
        <w:ind w:left="3480" w:hanging="178"/>
      </w:pPr>
      <w:rPr>
        <w:rFonts w:hint="default"/>
        <w:lang w:val="es-ES" w:eastAsia="es-ES" w:bidi="es-ES"/>
      </w:rPr>
    </w:lvl>
    <w:lvl w:ilvl="4">
      <w:start w:val="0"/>
      <w:numFmt w:val="bullet"/>
      <w:lvlText w:val="•"/>
      <w:lvlJc w:val="left"/>
      <w:pPr>
        <w:ind w:left="4360" w:hanging="178"/>
      </w:pPr>
      <w:rPr>
        <w:rFonts w:hint="default"/>
        <w:lang w:val="es-ES" w:eastAsia="es-ES" w:bidi="es-ES"/>
      </w:rPr>
    </w:lvl>
    <w:lvl w:ilvl="5">
      <w:start w:val="0"/>
      <w:numFmt w:val="bullet"/>
      <w:lvlText w:val="•"/>
      <w:lvlJc w:val="left"/>
      <w:pPr>
        <w:ind w:left="5240" w:hanging="178"/>
      </w:pPr>
      <w:rPr>
        <w:rFonts w:hint="default"/>
        <w:lang w:val="es-ES" w:eastAsia="es-ES" w:bidi="es-ES"/>
      </w:rPr>
    </w:lvl>
    <w:lvl w:ilvl="6">
      <w:start w:val="0"/>
      <w:numFmt w:val="bullet"/>
      <w:lvlText w:val="•"/>
      <w:lvlJc w:val="left"/>
      <w:pPr>
        <w:ind w:left="6120" w:hanging="178"/>
      </w:pPr>
      <w:rPr>
        <w:rFonts w:hint="default"/>
        <w:lang w:val="es-ES" w:eastAsia="es-ES" w:bidi="es-ES"/>
      </w:rPr>
    </w:lvl>
    <w:lvl w:ilvl="7">
      <w:start w:val="0"/>
      <w:numFmt w:val="bullet"/>
      <w:lvlText w:val="•"/>
      <w:lvlJc w:val="left"/>
      <w:pPr>
        <w:ind w:left="7000" w:hanging="178"/>
      </w:pPr>
      <w:rPr>
        <w:rFonts w:hint="default"/>
        <w:lang w:val="es-ES" w:eastAsia="es-ES" w:bidi="es-ES"/>
      </w:rPr>
    </w:lvl>
    <w:lvl w:ilvl="8">
      <w:start w:val="0"/>
      <w:numFmt w:val="bullet"/>
      <w:lvlText w:val="•"/>
      <w:lvlJc w:val="left"/>
      <w:pPr>
        <w:ind w:left="7880" w:hanging="178"/>
      </w:pPr>
      <w:rPr>
        <w:rFonts w:hint="default"/>
        <w:lang w:val="es-ES" w:eastAsia="es-ES" w:bidi="es-ES"/>
      </w:rPr>
    </w:lvl>
  </w:abstractNum>
  <w:abstractNum w:abstractNumId="29">
    <w:multiLevelType w:val="hybridMultilevel"/>
    <w:lvl w:ilvl="0">
      <w:start w:val="1"/>
      <w:numFmt w:val="upperRoman"/>
      <w:lvlText w:val="%1."/>
      <w:lvlJc w:val="left"/>
      <w:pPr>
        <w:ind w:left="83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3"/>
      </w:pPr>
      <w:rPr>
        <w:rFonts w:hint="default"/>
        <w:lang w:val="es-ES" w:eastAsia="es-ES" w:bidi="es-ES"/>
      </w:rPr>
    </w:lvl>
    <w:lvl w:ilvl="2">
      <w:start w:val="0"/>
      <w:numFmt w:val="bullet"/>
      <w:lvlText w:val="•"/>
      <w:lvlJc w:val="left"/>
      <w:pPr>
        <w:ind w:left="2600" w:hanging="173"/>
      </w:pPr>
      <w:rPr>
        <w:rFonts w:hint="default"/>
        <w:lang w:val="es-ES" w:eastAsia="es-ES" w:bidi="es-ES"/>
      </w:rPr>
    </w:lvl>
    <w:lvl w:ilvl="3">
      <w:start w:val="0"/>
      <w:numFmt w:val="bullet"/>
      <w:lvlText w:val="•"/>
      <w:lvlJc w:val="left"/>
      <w:pPr>
        <w:ind w:left="3480" w:hanging="173"/>
      </w:pPr>
      <w:rPr>
        <w:rFonts w:hint="default"/>
        <w:lang w:val="es-ES" w:eastAsia="es-ES" w:bidi="es-ES"/>
      </w:rPr>
    </w:lvl>
    <w:lvl w:ilvl="4">
      <w:start w:val="0"/>
      <w:numFmt w:val="bullet"/>
      <w:lvlText w:val="•"/>
      <w:lvlJc w:val="left"/>
      <w:pPr>
        <w:ind w:left="4360" w:hanging="173"/>
      </w:pPr>
      <w:rPr>
        <w:rFonts w:hint="default"/>
        <w:lang w:val="es-ES" w:eastAsia="es-ES" w:bidi="es-ES"/>
      </w:rPr>
    </w:lvl>
    <w:lvl w:ilvl="5">
      <w:start w:val="0"/>
      <w:numFmt w:val="bullet"/>
      <w:lvlText w:val="•"/>
      <w:lvlJc w:val="left"/>
      <w:pPr>
        <w:ind w:left="5240" w:hanging="173"/>
      </w:pPr>
      <w:rPr>
        <w:rFonts w:hint="default"/>
        <w:lang w:val="es-ES" w:eastAsia="es-ES" w:bidi="es-ES"/>
      </w:rPr>
    </w:lvl>
    <w:lvl w:ilvl="6">
      <w:start w:val="0"/>
      <w:numFmt w:val="bullet"/>
      <w:lvlText w:val="•"/>
      <w:lvlJc w:val="left"/>
      <w:pPr>
        <w:ind w:left="6120" w:hanging="173"/>
      </w:pPr>
      <w:rPr>
        <w:rFonts w:hint="default"/>
        <w:lang w:val="es-ES" w:eastAsia="es-ES" w:bidi="es-ES"/>
      </w:rPr>
    </w:lvl>
    <w:lvl w:ilvl="7">
      <w:start w:val="0"/>
      <w:numFmt w:val="bullet"/>
      <w:lvlText w:val="•"/>
      <w:lvlJc w:val="left"/>
      <w:pPr>
        <w:ind w:left="7000" w:hanging="173"/>
      </w:pPr>
      <w:rPr>
        <w:rFonts w:hint="default"/>
        <w:lang w:val="es-ES" w:eastAsia="es-ES" w:bidi="es-ES"/>
      </w:rPr>
    </w:lvl>
    <w:lvl w:ilvl="8">
      <w:start w:val="0"/>
      <w:numFmt w:val="bullet"/>
      <w:lvlText w:val="•"/>
      <w:lvlJc w:val="left"/>
      <w:pPr>
        <w:ind w:left="7880" w:hanging="173"/>
      </w:pPr>
      <w:rPr>
        <w:rFonts w:hint="default"/>
        <w:lang w:val="es-ES" w:eastAsia="es-ES" w:bidi="es-ES"/>
      </w:rPr>
    </w:lvl>
  </w:abstractNum>
  <w:abstractNum w:abstractNumId="28">
    <w:multiLevelType w:val="hybridMultilevel"/>
    <w:lvl w:ilvl="0">
      <w:start w:val="1"/>
      <w:numFmt w:val="upperRoman"/>
      <w:lvlText w:val="%1."/>
      <w:lvlJc w:val="left"/>
      <w:pPr>
        <w:ind w:left="838" w:hanging="1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1"/>
      </w:pPr>
      <w:rPr>
        <w:rFonts w:hint="default"/>
        <w:lang w:val="es-ES" w:eastAsia="es-ES" w:bidi="es-ES"/>
      </w:rPr>
    </w:lvl>
    <w:lvl w:ilvl="2">
      <w:start w:val="0"/>
      <w:numFmt w:val="bullet"/>
      <w:lvlText w:val="•"/>
      <w:lvlJc w:val="left"/>
      <w:pPr>
        <w:ind w:left="2600" w:hanging="171"/>
      </w:pPr>
      <w:rPr>
        <w:rFonts w:hint="default"/>
        <w:lang w:val="es-ES" w:eastAsia="es-ES" w:bidi="es-ES"/>
      </w:rPr>
    </w:lvl>
    <w:lvl w:ilvl="3">
      <w:start w:val="0"/>
      <w:numFmt w:val="bullet"/>
      <w:lvlText w:val="•"/>
      <w:lvlJc w:val="left"/>
      <w:pPr>
        <w:ind w:left="3480" w:hanging="171"/>
      </w:pPr>
      <w:rPr>
        <w:rFonts w:hint="default"/>
        <w:lang w:val="es-ES" w:eastAsia="es-ES" w:bidi="es-ES"/>
      </w:rPr>
    </w:lvl>
    <w:lvl w:ilvl="4">
      <w:start w:val="0"/>
      <w:numFmt w:val="bullet"/>
      <w:lvlText w:val="•"/>
      <w:lvlJc w:val="left"/>
      <w:pPr>
        <w:ind w:left="4360" w:hanging="171"/>
      </w:pPr>
      <w:rPr>
        <w:rFonts w:hint="default"/>
        <w:lang w:val="es-ES" w:eastAsia="es-ES" w:bidi="es-ES"/>
      </w:rPr>
    </w:lvl>
    <w:lvl w:ilvl="5">
      <w:start w:val="0"/>
      <w:numFmt w:val="bullet"/>
      <w:lvlText w:val="•"/>
      <w:lvlJc w:val="left"/>
      <w:pPr>
        <w:ind w:left="5240" w:hanging="171"/>
      </w:pPr>
      <w:rPr>
        <w:rFonts w:hint="default"/>
        <w:lang w:val="es-ES" w:eastAsia="es-ES" w:bidi="es-ES"/>
      </w:rPr>
    </w:lvl>
    <w:lvl w:ilvl="6">
      <w:start w:val="0"/>
      <w:numFmt w:val="bullet"/>
      <w:lvlText w:val="•"/>
      <w:lvlJc w:val="left"/>
      <w:pPr>
        <w:ind w:left="6120" w:hanging="171"/>
      </w:pPr>
      <w:rPr>
        <w:rFonts w:hint="default"/>
        <w:lang w:val="es-ES" w:eastAsia="es-ES" w:bidi="es-ES"/>
      </w:rPr>
    </w:lvl>
    <w:lvl w:ilvl="7">
      <w:start w:val="0"/>
      <w:numFmt w:val="bullet"/>
      <w:lvlText w:val="•"/>
      <w:lvlJc w:val="left"/>
      <w:pPr>
        <w:ind w:left="7000" w:hanging="171"/>
      </w:pPr>
      <w:rPr>
        <w:rFonts w:hint="default"/>
        <w:lang w:val="es-ES" w:eastAsia="es-ES" w:bidi="es-ES"/>
      </w:rPr>
    </w:lvl>
    <w:lvl w:ilvl="8">
      <w:start w:val="0"/>
      <w:numFmt w:val="bullet"/>
      <w:lvlText w:val="•"/>
      <w:lvlJc w:val="left"/>
      <w:pPr>
        <w:ind w:left="7880" w:hanging="171"/>
      </w:pPr>
      <w:rPr>
        <w:rFonts w:hint="default"/>
        <w:lang w:val="es-ES" w:eastAsia="es-ES" w:bidi="es-ES"/>
      </w:rPr>
    </w:lvl>
  </w:abstractNum>
  <w:abstractNum w:abstractNumId="27">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25">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24">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23">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22">
    <w:multiLevelType w:val="hybridMultilevel"/>
    <w:lvl w:ilvl="0">
      <w:start w:val="1"/>
      <w:numFmt w:val="upperRoman"/>
      <w:lvlText w:val="%1."/>
      <w:lvlJc w:val="left"/>
      <w:pPr>
        <w:ind w:left="838" w:hanging="1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1"/>
      </w:pPr>
      <w:rPr>
        <w:rFonts w:hint="default"/>
        <w:lang w:val="es-ES" w:eastAsia="es-ES" w:bidi="es-ES"/>
      </w:rPr>
    </w:lvl>
    <w:lvl w:ilvl="2">
      <w:start w:val="0"/>
      <w:numFmt w:val="bullet"/>
      <w:lvlText w:val="•"/>
      <w:lvlJc w:val="left"/>
      <w:pPr>
        <w:ind w:left="2600" w:hanging="171"/>
      </w:pPr>
      <w:rPr>
        <w:rFonts w:hint="default"/>
        <w:lang w:val="es-ES" w:eastAsia="es-ES" w:bidi="es-ES"/>
      </w:rPr>
    </w:lvl>
    <w:lvl w:ilvl="3">
      <w:start w:val="0"/>
      <w:numFmt w:val="bullet"/>
      <w:lvlText w:val="•"/>
      <w:lvlJc w:val="left"/>
      <w:pPr>
        <w:ind w:left="3480" w:hanging="171"/>
      </w:pPr>
      <w:rPr>
        <w:rFonts w:hint="default"/>
        <w:lang w:val="es-ES" w:eastAsia="es-ES" w:bidi="es-ES"/>
      </w:rPr>
    </w:lvl>
    <w:lvl w:ilvl="4">
      <w:start w:val="0"/>
      <w:numFmt w:val="bullet"/>
      <w:lvlText w:val="•"/>
      <w:lvlJc w:val="left"/>
      <w:pPr>
        <w:ind w:left="4360" w:hanging="171"/>
      </w:pPr>
      <w:rPr>
        <w:rFonts w:hint="default"/>
        <w:lang w:val="es-ES" w:eastAsia="es-ES" w:bidi="es-ES"/>
      </w:rPr>
    </w:lvl>
    <w:lvl w:ilvl="5">
      <w:start w:val="0"/>
      <w:numFmt w:val="bullet"/>
      <w:lvlText w:val="•"/>
      <w:lvlJc w:val="left"/>
      <w:pPr>
        <w:ind w:left="5240" w:hanging="171"/>
      </w:pPr>
      <w:rPr>
        <w:rFonts w:hint="default"/>
        <w:lang w:val="es-ES" w:eastAsia="es-ES" w:bidi="es-ES"/>
      </w:rPr>
    </w:lvl>
    <w:lvl w:ilvl="6">
      <w:start w:val="0"/>
      <w:numFmt w:val="bullet"/>
      <w:lvlText w:val="•"/>
      <w:lvlJc w:val="left"/>
      <w:pPr>
        <w:ind w:left="6120" w:hanging="171"/>
      </w:pPr>
      <w:rPr>
        <w:rFonts w:hint="default"/>
        <w:lang w:val="es-ES" w:eastAsia="es-ES" w:bidi="es-ES"/>
      </w:rPr>
    </w:lvl>
    <w:lvl w:ilvl="7">
      <w:start w:val="0"/>
      <w:numFmt w:val="bullet"/>
      <w:lvlText w:val="•"/>
      <w:lvlJc w:val="left"/>
      <w:pPr>
        <w:ind w:left="7000" w:hanging="171"/>
      </w:pPr>
      <w:rPr>
        <w:rFonts w:hint="default"/>
        <w:lang w:val="es-ES" w:eastAsia="es-ES" w:bidi="es-ES"/>
      </w:rPr>
    </w:lvl>
    <w:lvl w:ilvl="8">
      <w:start w:val="0"/>
      <w:numFmt w:val="bullet"/>
      <w:lvlText w:val="•"/>
      <w:lvlJc w:val="left"/>
      <w:pPr>
        <w:ind w:left="7880" w:hanging="171"/>
      </w:pPr>
      <w:rPr>
        <w:rFonts w:hint="default"/>
        <w:lang w:val="es-ES" w:eastAsia="es-ES" w:bidi="es-ES"/>
      </w:rPr>
    </w:lvl>
  </w:abstractNum>
  <w:abstractNum w:abstractNumId="21">
    <w:multiLevelType w:val="hybridMultilevel"/>
    <w:lvl w:ilvl="0">
      <w:start w:val="1"/>
      <w:numFmt w:val="upperRoman"/>
      <w:lvlText w:val="%1."/>
      <w:lvlJc w:val="left"/>
      <w:pPr>
        <w:ind w:left="838" w:hanging="178"/>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10" w:hanging="257"/>
        <w:jc w:val="left"/>
      </w:pPr>
      <w:rPr>
        <w:rFonts w:hint="default" w:ascii="Arial" w:hAnsi="Arial" w:eastAsia="Arial" w:cs="Arial"/>
        <w:b/>
        <w:bCs/>
        <w:w w:val="99"/>
        <w:sz w:val="20"/>
        <w:szCs w:val="20"/>
        <w:lang w:val="es-ES" w:eastAsia="es-ES" w:bidi="es-ES"/>
      </w:rPr>
    </w:lvl>
    <w:lvl w:ilvl="2">
      <w:start w:val="0"/>
      <w:numFmt w:val="bullet"/>
      <w:lvlText w:val="•"/>
      <w:lvlJc w:val="left"/>
      <w:pPr>
        <w:ind w:left="2066" w:hanging="257"/>
      </w:pPr>
      <w:rPr>
        <w:rFonts w:hint="default"/>
        <w:lang w:val="es-ES" w:eastAsia="es-ES" w:bidi="es-ES"/>
      </w:rPr>
    </w:lvl>
    <w:lvl w:ilvl="3">
      <w:start w:val="0"/>
      <w:numFmt w:val="bullet"/>
      <w:lvlText w:val="•"/>
      <w:lvlJc w:val="left"/>
      <w:pPr>
        <w:ind w:left="3013" w:hanging="257"/>
      </w:pPr>
      <w:rPr>
        <w:rFonts w:hint="default"/>
        <w:lang w:val="es-ES" w:eastAsia="es-ES" w:bidi="es-ES"/>
      </w:rPr>
    </w:lvl>
    <w:lvl w:ilvl="4">
      <w:start w:val="0"/>
      <w:numFmt w:val="bullet"/>
      <w:lvlText w:val="•"/>
      <w:lvlJc w:val="left"/>
      <w:pPr>
        <w:ind w:left="3960" w:hanging="257"/>
      </w:pPr>
      <w:rPr>
        <w:rFonts w:hint="default"/>
        <w:lang w:val="es-ES" w:eastAsia="es-ES" w:bidi="es-ES"/>
      </w:rPr>
    </w:lvl>
    <w:lvl w:ilvl="5">
      <w:start w:val="0"/>
      <w:numFmt w:val="bullet"/>
      <w:lvlText w:val="•"/>
      <w:lvlJc w:val="left"/>
      <w:pPr>
        <w:ind w:left="4906" w:hanging="257"/>
      </w:pPr>
      <w:rPr>
        <w:rFonts w:hint="default"/>
        <w:lang w:val="es-ES" w:eastAsia="es-ES" w:bidi="es-ES"/>
      </w:rPr>
    </w:lvl>
    <w:lvl w:ilvl="6">
      <w:start w:val="0"/>
      <w:numFmt w:val="bullet"/>
      <w:lvlText w:val="•"/>
      <w:lvlJc w:val="left"/>
      <w:pPr>
        <w:ind w:left="5853" w:hanging="257"/>
      </w:pPr>
      <w:rPr>
        <w:rFonts w:hint="default"/>
        <w:lang w:val="es-ES" w:eastAsia="es-ES" w:bidi="es-ES"/>
      </w:rPr>
    </w:lvl>
    <w:lvl w:ilvl="7">
      <w:start w:val="0"/>
      <w:numFmt w:val="bullet"/>
      <w:lvlText w:val="•"/>
      <w:lvlJc w:val="left"/>
      <w:pPr>
        <w:ind w:left="6800" w:hanging="257"/>
      </w:pPr>
      <w:rPr>
        <w:rFonts w:hint="default"/>
        <w:lang w:val="es-ES" w:eastAsia="es-ES" w:bidi="es-ES"/>
      </w:rPr>
    </w:lvl>
    <w:lvl w:ilvl="8">
      <w:start w:val="0"/>
      <w:numFmt w:val="bullet"/>
      <w:lvlText w:val="•"/>
      <w:lvlJc w:val="left"/>
      <w:pPr>
        <w:ind w:left="7746" w:hanging="257"/>
      </w:pPr>
      <w:rPr>
        <w:rFonts w:hint="default"/>
        <w:lang w:val="es-ES" w:eastAsia="es-ES" w:bidi="es-ES"/>
      </w:rPr>
    </w:lvl>
  </w:abstractNum>
  <w:abstractNum w:abstractNumId="20">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19">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98" w:hanging="236"/>
        <w:jc w:val="left"/>
      </w:pPr>
      <w:rPr>
        <w:rFonts w:hint="default" w:ascii="Arial" w:hAnsi="Arial" w:eastAsia="Arial" w:cs="Arial"/>
        <w:b/>
        <w:bCs/>
        <w:w w:val="99"/>
        <w:sz w:val="20"/>
        <w:szCs w:val="20"/>
        <w:lang w:val="es-ES" w:eastAsia="es-ES" w:bidi="es-ES"/>
      </w:rPr>
    </w:lvl>
    <w:lvl w:ilvl="2">
      <w:start w:val="0"/>
      <w:numFmt w:val="bullet"/>
      <w:lvlText w:val="•"/>
      <w:lvlJc w:val="left"/>
      <w:pPr>
        <w:ind w:left="1440" w:hanging="236"/>
      </w:pPr>
      <w:rPr>
        <w:rFonts w:hint="default"/>
        <w:lang w:val="es-ES" w:eastAsia="es-ES" w:bidi="es-ES"/>
      </w:rPr>
    </w:lvl>
    <w:lvl w:ilvl="3">
      <w:start w:val="0"/>
      <w:numFmt w:val="bullet"/>
      <w:lvlText w:val="•"/>
      <w:lvlJc w:val="left"/>
      <w:pPr>
        <w:ind w:left="2465" w:hanging="236"/>
      </w:pPr>
      <w:rPr>
        <w:rFonts w:hint="default"/>
        <w:lang w:val="es-ES" w:eastAsia="es-ES" w:bidi="es-ES"/>
      </w:rPr>
    </w:lvl>
    <w:lvl w:ilvl="4">
      <w:start w:val="0"/>
      <w:numFmt w:val="bullet"/>
      <w:lvlText w:val="•"/>
      <w:lvlJc w:val="left"/>
      <w:pPr>
        <w:ind w:left="3490" w:hanging="236"/>
      </w:pPr>
      <w:rPr>
        <w:rFonts w:hint="default"/>
        <w:lang w:val="es-ES" w:eastAsia="es-ES" w:bidi="es-ES"/>
      </w:rPr>
    </w:lvl>
    <w:lvl w:ilvl="5">
      <w:start w:val="0"/>
      <w:numFmt w:val="bullet"/>
      <w:lvlText w:val="•"/>
      <w:lvlJc w:val="left"/>
      <w:pPr>
        <w:ind w:left="4515" w:hanging="236"/>
      </w:pPr>
      <w:rPr>
        <w:rFonts w:hint="default"/>
        <w:lang w:val="es-ES" w:eastAsia="es-ES" w:bidi="es-ES"/>
      </w:rPr>
    </w:lvl>
    <w:lvl w:ilvl="6">
      <w:start w:val="0"/>
      <w:numFmt w:val="bullet"/>
      <w:lvlText w:val="•"/>
      <w:lvlJc w:val="left"/>
      <w:pPr>
        <w:ind w:left="5540" w:hanging="236"/>
      </w:pPr>
      <w:rPr>
        <w:rFonts w:hint="default"/>
        <w:lang w:val="es-ES" w:eastAsia="es-ES" w:bidi="es-ES"/>
      </w:rPr>
    </w:lvl>
    <w:lvl w:ilvl="7">
      <w:start w:val="0"/>
      <w:numFmt w:val="bullet"/>
      <w:lvlText w:val="•"/>
      <w:lvlJc w:val="left"/>
      <w:pPr>
        <w:ind w:left="6565" w:hanging="236"/>
      </w:pPr>
      <w:rPr>
        <w:rFonts w:hint="default"/>
        <w:lang w:val="es-ES" w:eastAsia="es-ES" w:bidi="es-ES"/>
      </w:rPr>
    </w:lvl>
    <w:lvl w:ilvl="8">
      <w:start w:val="0"/>
      <w:numFmt w:val="bullet"/>
      <w:lvlText w:val="•"/>
      <w:lvlJc w:val="left"/>
      <w:pPr>
        <w:ind w:left="7590" w:hanging="236"/>
      </w:pPr>
      <w:rPr>
        <w:rFonts w:hint="default"/>
        <w:lang w:val="es-ES" w:eastAsia="es-ES" w:bidi="es-ES"/>
      </w:rPr>
    </w:lvl>
  </w:abstractNum>
  <w:abstractNum w:abstractNumId="18">
    <w:multiLevelType w:val="hybridMultilevel"/>
    <w:lvl w:ilvl="0">
      <w:start w:val="1"/>
      <w:numFmt w:val="upperRoman"/>
      <w:lvlText w:val="%1."/>
      <w:lvlJc w:val="left"/>
      <w:pPr>
        <w:ind w:left="838" w:hanging="20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00"/>
      </w:pPr>
      <w:rPr>
        <w:rFonts w:hint="default"/>
        <w:lang w:val="es-ES" w:eastAsia="es-ES" w:bidi="es-ES"/>
      </w:rPr>
    </w:lvl>
    <w:lvl w:ilvl="2">
      <w:start w:val="0"/>
      <w:numFmt w:val="bullet"/>
      <w:lvlText w:val="•"/>
      <w:lvlJc w:val="left"/>
      <w:pPr>
        <w:ind w:left="2600" w:hanging="200"/>
      </w:pPr>
      <w:rPr>
        <w:rFonts w:hint="default"/>
        <w:lang w:val="es-ES" w:eastAsia="es-ES" w:bidi="es-ES"/>
      </w:rPr>
    </w:lvl>
    <w:lvl w:ilvl="3">
      <w:start w:val="0"/>
      <w:numFmt w:val="bullet"/>
      <w:lvlText w:val="•"/>
      <w:lvlJc w:val="left"/>
      <w:pPr>
        <w:ind w:left="3480" w:hanging="200"/>
      </w:pPr>
      <w:rPr>
        <w:rFonts w:hint="default"/>
        <w:lang w:val="es-ES" w:eastAsia="es-ES" w:bidi="es-ES"/>
      </w:rPr>
    </w:lvl>
    <w:lvl w:ilvl="4">
      <w:start w:val="0"/>
      <w:numFmt w:val="bullet"/>
      <w:lvlText w:val="•"/>
      <w:lvlJc w:val="left"/>
      <w:pPr>
        <w:ind w:left="4360" w:hanging="200"/>
      </w:pPr>
      <w:rPr>
        <w:rFonts w:hint="default"/>
        <w:lang w:val="es-ES" w:eastAsia="es-ES" w:bidi="es-ES"/>
      </w:rPr>
    </w:lvl>
    <w:lvl w:ilvl="5">
      <w:start w:val="0"/>
      <w:numFmt w:val="bullet"/>
      <w:lvlText w:val="•"/>
      <w:lvlJc w:val="left"/>
      <w:pPr>
        <w:ind w:left="5240" w:hanging="200"/>
      </w:pPr>
      <w:rPr>
        <w:rFonts w:hint="default"/>
        <w:lang w:val="es-ES" w:eastAsia="es-ES" w:bidi="es-ES"/>
      </w:rPr>
    </w:lvl>
    <w:lvl w:ilvl="6">
      <w:start w:val="0"/>
      <w:numFmt w:val="bullet"/>
      <w:lvlText w:val="•"/>
      <w:lvlJc w:val="left"/>
      <w:pPr>
        <w:ind w:left="6120" w:hanging="200"/>
      </w:pPr>
      <w:rPr>
        <w:rFonts w:hint="default"/>
        <w:lang w:val="es-ES" w:eastAsia="es-ES" w:bidi="es-ES"/>
      </w:rPr>
    </w:lvl>
    <w:lvl w:ilvl="7">
      <w:start w:val="0"/>
      <w:numFmt w:val="bullet"/>
      <w:lvlText w:val="•"/>
      <w:lvlJc w:val="left"/>
      <w:pPr>
        <w:ind w:left="7000" w:hanging="200"/>
      </w:pPr>
      <w:rPr>
        <w:rFonts w:hint="default"/>
        <w:lang w:val="es-ES" w:eastAsia="es-ES" w:bidi="es-ES"/>
      </w:rPr>
    </w:lvl>
    <w:lvl w:ilvl="8">
      <w:start w:val="0"/>
      <w:numFmt w:val="bullet"/>
      <w:lvlText w:val="•"/>
      <w:lvlJc w:val="left"/>
      <w:pPr>
        <w:ind w:left="7880" w:hanging="200"/>
      </w:pPr>
      <w:rPr>
        <w:rFonts w:hint="default"/>
        <w:lang w:val="es-ES" w:eastAsia="es-ES" w:bidi="es-ES"/>
      </w:rPr>
    </w:lvl>
  </w:abstractNum>
  <w:abstractNum w:abstractNumId="17">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17" w:hanging="243"/>
        <w:jc w:val="left"/>
      </w:pPr>
      <w:rPr>
        <w:rFonts w:hint="default" w:ascii="Arial" w:hAnsi="Arial" w:eastAsia="Arial" w:cs="Arial"/>
        <w:b/>
        <w:bCs/>
        <w:w w:val="99"/>
        <w:sz w:val="20"/>
        <w:szCs w:val="20"/>
        <w:lang w:val="es-ES" w:eastAsia="es-ES" w:bidi="es-ES"/>
      </w:rPr>
    </w:lvl>
    <w:lvl w:ilvl="2">
      <w:start w:val="0"/>
      <w:numFmt w:val="bullet"/>
      <w:lvlText w:val="•"/>
      <w:lvlJc w:val="left"/>
      <w:pPr>
        <w:ind w:left="2066" w:hanging="243"/>
      </w:pPr>
      <w:rPr>
        <w:rFonts w:hint="default"/>
        <w:lang w:val="es-ES" w:eastAsia="es-ES" w:bidi="es-ES"/>
      </w:rPr>
    </w:lvl>
    <w:lvl w:ilvl="3">
      <w:start w:val="0"/>
      <w:numFmt w:val="bullet"/>
      <w:lvlText w:val="•"/>
      <w:lvlJc w:val="left"/>
      <w:pPr>
        <w:ind w:left="3013" w:hanging="243"/>
      </w:pPr>
      <w:rPr>
        <w:rFonts w:hint="default"/>
        <w:lang w:val="es-ES" w:eastAsia="es-ES" w:bidi="es-ES"/>
      </w:rPr>
    </w:lvl>
    <w:lvl w:ilvl="4">
      <w:start w:val="0"/>
      <w:numFmt w:val="bullet"/>
      <w:lvlText w:val="•"/>
      <w:lvlJc w:val="left"/>
      <w:pPr>
        <w:ind w:left="3960" w:hanging="243"/>
      </w:pPr>
      <w:rPr>
        <w:rFonts w:hint="default"/>
        <w:lang w:val="es-ES" w:eastAsia="es-ES" w:bidi="es-ES"/>
      </w:rPr>
    </w:lvl>
    <w:lvl w:ilvl="5">
      <w:start w:val="0"/>
      <w:numFmt w:val="bullet"/>
      <w:lvlText w:val="•"/>
      <w:lvlJc w:val="left"/>
      <w:pPr>
        <w:ind w:left="4906" w:hanging="243"/>
      </w:pPr>
      <w:rPr>
        <w:rFonts w:hint="default"/>
        <w:lang w:val="es-ES" w:eastAsia="es-ES" w:bidi="es-ES"/>
      </w:rPr>
    </w:lvl>
    <w:lvl w:ilvl="6">
      <w:start w:val="0"/>
      <w:numFmt w:val="bullet"/>
      <w:lvlText w:val="•"/>
      <w:lvlJc w:val="left"/>
      <w:pPr>
        <w:ind w:left="5853" w:hanging="243"/>
      </w:pPr>
      <w:rPr>
        <w:rFonts w:hint="default"/>
        <w:lang w:val="es-ES" w:eastAsia="es-ES" w:bidi="es-ES"/>
      </w:rPr>
    </w:lvl>
    <w:lvl w:ilvl="7">
      <w:start w:val="0"/>
      <w:numFmt w:val="bullet"/>
      <w:lvlText w:val="•"/>
      <w:lvlJc w:val="left"/>
      <w:pPr>
        <w:ind w:left="6800" w:hanging="243"/>
      </w:pPr>
      <w:rPr>
        <w:rFonts w:hint="default"/>
        <w:lang w:val="es-ES" w:eastAsia="es-ES" w:bidi="es-ES"/>
      </w:rPr>
    </w:lvl>
    <w:lvl w:ilvl="8">
      <w:start w:val="0"/>
      <w:numFmt w:val="bullet"/>
      <w:lvlText w:val="•"/>
      <w:lvlJc w:val="left"/>
      <w:pPr>
        <w:ind w:left="7746" w:hanging="243"/>
      </w:pPr>
      <w:rPr>
        <w:rFonts w:hint="default"/>
        <w:lang w:val="es-ES" w:eastAsia="es-ES" w:bidi="es-ES"/>
      </w:rPr>
    </w:lvl>
  </w:abstractNum>
  <w:abstractNum w:abstractNumId="16">
    <w:multiLevelType w:val="hybridMultilevel"/>
    <w:lvl w:ilvl="0">
      <w:start w:val="1"/>
      <w:numFmt w:val="upperRoman"/>
      <w:lvlText w:val="%1."/>
      <w:lvlJc w:val="left"/>
      <w:pPr>
        <w:ind w:left="838" w:hanging="188"/>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42" w:hanging="233"/>
        <w:jc w:val="left"/>
      </w:pPr>
      <w:rPr>
        <w:rFonts w:hint="default" w:ascii="Arial" w:hAnsi="Arial" w:eastAsia="Arial" w:cs="Arial"/>
        <w:b/>
        <w:bCs/>
        <w:w w:val="99"/>
        <w:sz w:val="20"/>
        <w:szCs w:val="20"/>
        <w:lang w:val="es-ES" w:eastAsia="es-ES" w:bidi="es-ES"/>
      </w:rPr>
    </w:lvl>
    <w:lvl w:ilvl="2">
      <w:start w:val="0"/>
      <w:numFmt w:val="bullet"/>
      <w:lvlText w:val="•"/>
      <w:lvlJc w:val="left"/>
      <w:pPr>
        <w:ind w:left="2262" w:hanging="233"/>
      </w:pPr>
      <w:rPr>
        <w:rFonts w:hint="default"/>
        <w:lang w:val="es-ES" w:eastAsia="es-ES" w:bidi="es-ES"/>
      </w:rPr>
    </w:lvl>
    <w:lvl w:ilvl="3">
      <w:start w:val="0"/>
      <w:numFmt w:val="bullet"/>
      <w:lvlText w:val="•"/>
      <w:lvlJc w:val="left"/>
      <w:pPr>
        <w:ind w:left="3184" w:hanging="233"/>
      </w:pPr>
      <w:rPr>
        <w:rFonts w:hint="default"/>
        <w:lang w:val="es-ES" w:eastAsia="es-ES" w:bidi="es-ES"/>
      </w:rPr>
    </w:lvl>
    <w:lvl w:ilvl="4">
      <w:start w:val="0"/>
      <w:numFmt w:val="bullet"/>
      <w:lvlText w:val="•"/>
      <w:lvlJc w:val="left"/>
      <w:pPr>
        <w:ind w:left="4106" w:hanging="233"/>
      </w:pPr>
      <w:rPr>
        <w:rFonts w:hint="default"/>
        <w:lang w:val="es-ES" w:eastAsia="es-ES" w:bidi="es-ES"/>
      </w:rPr>
    </w:lvl>
    <w:lvl w:ilvl="5">
      <w:start w:val="0"/>
      <w:numFmt w:val="bullet"/>
      <w:lvlText w:val="•"/>
      <w:lvlJc w:val="left"/>
      <w:pPr>
        <w:ind w:left="5028" w:hanging="233"/>
      </w:pPr>
      <w:rPr>
        <w:rFonts w:hint="default"/>
        <w:lang w:val="es-ES" w:eastAsia="es-ES" w:bidi="es-ES"/>
      </w:rPr>
    </w:lvl>
    <w:lvl w:ilvl="6">
      <w:start w:val="0"/>
      <w:numFmt w:val="bullet"/>
      <w:lvlText w:val="•"/>
      <w:lvlJc w:val="left"/>
      <w:pPr>
        <w:ind w:left="5951" w:hanging="233"/>
      </w:pPr>
      <w:rPr>
        <w:rFonts w:hint="default"/>
        <w:lang w:val="es-ES" w:eastAsia="es-ES" w:bidi="es-ES"/>
      </w:rPr>
    </w:lvl>
    <w:lvl w:ilvl="7">
      <w:start w:val="0"/>
      <w:numFmt w:val="bullet"/>
      <w:lvlText w:val="•"/>
      <w:lvlJc w:val="left"/>
      <w:pPr>
        <w:ind w:left="6873" w:hanging="233"/>
      </w:pPr>
      <w:rPr>
        <w:rFonts w:hint="default"/>
        <w:lang w:val="es-ES" w:eastAsia="es-ES" w:bidi="es-ES"/>
      </w:rPr>
    </w:lvl>
    <w:lvl w:ilvl="8">
      <w:start w:val="0"/>
      <w:numFmt w:val="bullet"/>
      <w:lvlText w:val="•"/>
      <w:lvlJc w:val="left"/>
      <w:pPr>
        <w:ind w:left="7795" w:hanging="233"/>
      </w:pPr>
      <w:rPr>
        <w:rFonts w:hint="default"/>
        <w:lang w:val="es-ES" w:eastAsia="es-ES" w:bidi="es-ES"/>
      </w:rPr>
    </w:lvl>
  </w:abstractNum>
  <w:abstractNum w:abstractNumId="15">
    <w:multiLevelType w:val="hybridMultilevel"/>
    <w:lvl w:ilvl="0">
      <w:start w:val="1"/>
      <w:numFmt w:val="upperRoman"/>
      <w:lvlText w:val="%1."/>
      <w:lvlJc w:val="left"/>
      <w:pPr>
        <w:ind w:left="83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3"/>
      </w:pPr>
      <w:rPr>
        <w:rFonts w:hint="default"/>
        <w:lang w:val="es-ES" w:eastAsia="es-ES" w:bidi="es-ES"/>
      </w:rPr>
    </w:lvl>
    <w:lvl w:ilvl="2">
      <w:start w:val="0"/>
      <w:numFmt w:val="bullet"/>
      <w:lvlText w:val="•"/>
      <w:lvlJc w:val="left"/>
      <w:pPr>
        <w:ind w:left="2600" w:hanging="173"/>
      </w:pPr>
      <w:rPr>
        <w:rFonts w:hint="default"/>
        <w:lang w:val="es-ES" w:eastAsia="es-ES" w:bidi="es-ES"/>
      </w:rPr>
    </w:lvl>
    <w:lvl w:ilvl="3">
      <w:start w:val="0"/>
      <w:numFmt w:val="bullet"/>
      <w:lvlText w:val="•"/>
      <w:lvlJc w:val="left"/>
      <w:pPr>
        <w:ind w:left="3480" w:hanging="173"/>
      </w:pPr>
      <w:rPr>
        <w:rFonts w:hint="default"/>
        <w:lang w:val="es-ES" w:eastAsia="es-ES" w:bidi="es-ES"/>
      </w:rPr>
    </w:lvl>
    <w:lvl w:ilvl="4">
      <w:start w:val="0"/>
      <w:numFmt w:val="bullet"/>
      <w:lvlText w:val="•"/>
      <w:lvlJc w:val="left"/>
      <w:pPr>
        <w:ind w:left="4360" w:hanging="173"/>
      </w:pPr>
      <w:rPr>
        <w:rFonts w:hint="default"/>
        <w:lang w:val="es-ES" w:eastAsia="es-ES" w:bidi="es-ES"/>
      </w:rPr>
    </w:lvl>
    <w:lvl w:ilvl="5">
      <w:start w:val="0"/>
      <w:numFmt w:val="bullet"/>
      <w:lvlText w:val="•"/>
      <w:lvlJc w:val="left"/>
      <w:pPr>
        <w:ind w:left="5240" w:hanging="173"/>
      </w:pPr>
      <w:rPr>
        <w:rFonts w:hint="default"/>
        <w:lang w:val="es-ES" w:eastAsia="es-ES" w:bidi="es-ES"/>
      </w:rPr>
    </w:lvl>
    <w:lvl w:ilvl="6">
      <w:start w:val="0"/>
      <w:numFmt w:val="bullet"/>
      <w:lvlText w:val="•"/>
      <w:lvlJc w:val="left"/>
      <w:pPr>
        <w:ind w:left="6120" w:hanging="173"/>
      </w:pPr>
      <w:rPr>
        <w:rFonts w:hint="default"/>
        <w:lang w:val="es-ES" w:eastAsia="es-ES" w:bidi="es-ES"/>
      </w:rPr>
    </w:lvl>
    <w:lvl w:ilvl="7">
      <w:start w:val="0"/>
      <w:numFmt w:val="bullet"/>
      <w:lvlText w:val="•"/>
      <w:lvlJc w:val="left"/>
      <w:pPr>
        <w:ind w:left="7000" w:hanging="173"/>
      </w:pPr>
      <w:rPr>
        <w:rFonts w:hint="default"/>
        <w:lang w:val="es-ES" w:eastAsia="es-ES" w:bidi="es-ES"/>
      </w:rPr>
    </w:lvl>
    <w:lvl w:ilvl="8">
      <w:start w:val="0"/>
      <w:numFmt w:val="bullet"/>
      <w:lvlText w:val="•"/>
      <w:lvlJc w:val="left"/>
      <w:pPr>
        <w:ind w:left="7880" w:hanging="173"/>
      </w:pPr>
      <w:rPr>
        <w:rFonts w:hint="default"/>
        <w:lang w:val="es-ES" w:eastAsia="es-ES" w:bidi="es-ES"/>
      </w:rPr>
    </w:lvl>
  </w:abstractNum>
  <w:abstractNum w:abstractNumId="14">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13">
    <w:multiLevelType w:val="hybridMultilevel"/>
    <w:lvl w:ilvl="0">
      <w:start w:val="1"/>
      <w:numFmt w:val="upperRoman"/>
      <w:lvlText w:val="%1."/>
      <w:lvlJc w:val="left"/>
      <w:pPr>
        <w:ind w:left="838" w:hanging="20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07"/>
      </w:pPr>
      <w:rPr>
        <w:rFonts w:hint="default"/>
        <w:lang w:val="es-ES" w:eastAsia="es-ES" w:bidi="es-ES"/>
      </w:rPr>
    </w:lvl>
    <w:lvl w:ilvl="2">
      <w:start w:val="0"/>
      <w:numFmt w:val="bullet"/>
      <w:lvlText w:val="•"/>
      <w:lvlJc w:val="left"/>
      <w:pPr>
        <w:ind w:left="2600" w:hanging="207"/>
      </w:pPr>
      <w:rPr>
        <w:rFonts w:hint="default"/>
        <w:lang w:val="es-ES" w:eastAsia="es-ES" w:bidi="es-ES"/>
      </w:rPr>
    </w:lvl>
    <w:lvl w:ilvl="3">
      <w:start w:val="0"/>
      <w:numFmt w:val="bullet"/>
      <w:lvlText w:val="•"/>
      <w:lvlJc w:val="left"/>
      <w:pPr>
        <w:ind w:left="3480" w:hanging="207"/>
      </w:pPr>
      <w:rPr>
        <w:rFonts w:hint="default"/>
        <w:lang w:val="es-ES" w:eastAsia="es-ES" w:bidi="es-ES"/>
      </w:rPr>
    </w:lvl>
    <w:lvl w:ilvl="4">
      <w:start w:val="0"/>
      <w:numFmt w:val="bullet"/>
      <w:lvlText w:val="•"/>
      <w:lvlJc w:val="left"/>
      <w:pPr>
        <w:ind w:left="4360" w:hanging="207"/>
      </w:pPr>
      <w:rPr>
        <w:rFonts w:hint="default"/>
        <w:lang w:val="es-ES" w:eastAsia="es-ES" w:bidi="es-ES"/>
      </w:rPr>
    </w:lvl>
    <w:lvl w:ilvl="5">
      <w:start w:val="0"/>
      <w:numFmt w:val="bullet"/>
      <w:lvlText w:val="•"/>
      <w:lvlJc w:val="left"/>
      <w:pPr>
        <w:ind w:left="5240" w:hanging="207"/>
      </w:pPr>
      <w:rPr>
        <w:rFonts w:hint="default"/>
        <w:lang w:val="es-ES" w:eastAsia="es-ES" w:bidi="es-ES"/>
      </w:rPr>
    </w:lvl>
    <w:lvl w:ilvl="6">
      <w:start w:val="0"/>
      <w:numFmt w:val="bullet"/>
      <w:lvlText w:val="•"/>
      <w:lvlJc w:val="left"/>
      <w:pPr>
        <w:ind w:left="6120" w:hanging="207"/>
      </w:pPr>
      <w:rPr>
        <w:rFonts w:hint="default"/>
        <w:lang w:val="es-ES" w:eastAsia="es-ES" w:bidi="es-ES"/>
      </w:rPr>
    </w:lvl>
    <w:lvl w:ilvl="7">
      <w:start w:val="0"/>
      <w:numFmt w:val="bullet"/>
      <w:lvlText w:val="•"/>
      <w:lvlJc w:val="left"/>
      <w:pPr>
        <w:ind w:left="7000" w:hanging="207"/>
      </w:pPr>
      <w:rPr>
        <w:rFonts w:hint="default"/>
        <w:lang w:val="es-ES" w:eastAsia="es-ES" w:bidi="es-ES"/>
      </w:rPr>
    </w:lvl>
    <w:lvl w:ilvl="8">
      <w:start w:val="0"/>
      <w:numFmt w:val="bullet"/>
      <w:lvlText w:val="•"/>
      <w:lvlJc w:val="left"/>
      <w:pPr>
        <w:ind w:left="7880" w:hanging="207"/>
      </w:pPr>
      <w:rPr>
        <w:rFonts w:hint="default"/>
        <w:lang w:val="es-ES" w:eastAsia="es-ES" w:bidi="es-ES"/>
      </w:rPr>
    </w:lvl>
  </w:abstractNum>
  <w:abstractNum w:abstractNumId="12">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98" w:hanging="269"/>
        <w:jc w:val="left"/>
      </w:pPr>
      <w:rPr>
        <w:rFonts w:hint="default" w:ascii="Arial" w:hAnsi="Arial" w:eastAsia="Arial" w:cs="Arial"/>
        <w:b/>
        <w:bCs/>
        <w:w w:val="99"/>
        <w:sz w:val="20"/>
        <w:szCs w:val="20"/>
        <w:lang w:val="es-ES" w:eastAsia="es-ES" w:bidi="es-ES"/>
      </w:rPr>
    </w:lvl>
    <w:lvl w:ilvl="2">
      <w:start w:val="0"/>
      <w:numFmt w:val="bullet"/>
      <w:lvlText w:val="•"/>
      <w:lvlJc w:val="left"/>
      <w:pPr>
        <w:ind w:left="2137" w:hanging="269"/>
      </w:pPr>
      <w:rPr>
        <w:rFonts w:hint="default"/>
        <w:lang w:val="es-ES" w:eastAsia="es-ES" w:bidi="es-ES"/>
      </w:rPr>
    </w:lvl>
    <w:lvl w:ilvl="3">
      <w:start w:val="0"/>
      <w:numFmt w:val="bullet"/>
      <w:lvlText w:val="•"/>
      <w:lvlJc w:val="left"/>
      <w:pPr>
        <w:ind w:left="3075" w:hanging="269"/>
      </w:pPr>
      <w:rPr>
        <w:rFonts w:hint="default"/>
        <w:lang w:val="es-ES" w:eastAsia="es-ES" w:bidi="es-ES"/>
      </w:rPr>
    </w:lvl>
    <w:lvl w:ilvl="4">
      <w:start w:val="0"/>
      <w:numFmt w:val="bullet"/>
      <w:lvlText w:val="•"/>
      <w:lvlJc w:val="left"/>
      <w:pPr>
        <w:ind w:left="4013" w:hanging="269"/>
      </w:pPr>
      <w:rPr>
        <w:rFonts w:hint="default"/>
        <w:lang w:val="es-ES" w:eastAsia="es-ES" w:bidi="es-ES"/>
      </w:rPr>
    </w:lvl>
    <w:lvl w:ilvl="5">
      <w:start w:val="0"/>
      <w:numFmt w:val="bullet"/>
      <w:lvlText w:val="•"/>
      <w:lvlJc w:val="left"/>
      <w:pPr>
        <w:ind w:left="4951" w:hanging="269"/>
      </w:pPr>
      <w:rPr>
        <w:rFonts w:hint="default"/>
        <w:lang w:val="es-ES" w:eastAsia="es-ES" w:bidi="es-ES"/>
      </w:rPr>
    </w:lvl>
    <w:lvl w:ilvl="6">
      <w:start w:val="0"/>
      <w:numFmt w:val="bullet"/>
      <w:lvlText w:val="•"/>
      <w:lvlJc w:val="left"/>
      <w:pPr>
        <w:ind w:left="5888" w:hanging="269"/>
      </w:pPr>
      <w:rPr>
        <w:rFonts w:hint="default"/>
        <w:lang w:val="es-ES" w:eastAsia="es-ES" w:bidi="es-ES"/>
      </w:rPr>
    </w:lvl>
    <w:lvl w:ilvl="7">
      <w:start w:val="0"/>
      <w:numFmt w:val="bullet"/>
      <w:lvlText w:val="•"/>
      <w:lvlJc w:val="left"/>
      <w:pPr>
        <w:ind w:left="6826" w:hanging="269"/>
      </w:pPr>
      <w:rPr>
        <w:rFonts w:hint="default"/>
        <w:lang w:val="es-ES" w:eastAsia="es-ES" w:bidi="es-ES"/>
      </w:rPr>
    </w:lvl>
    <w:lvl w:ilvl="8">
      <w:start w:val="0"/>
      <w:numFmt w:val="bullet"/>
      <w:lvlText w:val="•"/>
      <w:lvlJc w:val="left"/>
      <w:pPr>
        <w:ind w:left="7764" w:hanging="269"/>
      </w:pPr>
      <w:rPr>
        <w:rFonts w:hint="default"/>
        <w:lang w:val="es-ES" w:eastAsia="es-ES" w:bidi="es-ES"/>
      </w:rPr>
    </w:lvl>
  </w:abstractNum>
  <w:abstractNum w:abstractNumId="11">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42" w:hanging="233"/>
        <w:jc w:val="left"/>
      </w:pPr>
      <w:rPr>
        <w:rFonts w:hint="default" w:ascii="Arial" w:hAnsi="Arial" w:eastAsia="Arial" w:cs="Arial"/>
        <w:b/>
        <w:bCs/>
        <w:w w:val="99"/>
        <w:sz w:val="20"/>
        <w:szCs w:val="20"/>
        <w:lang w:val="es-ES" w:eastAsia="es-ES" w:bidi="es-ES"/>
      </w:rPr>
    </w:lvl>
    <w:lvl w:ilvl="2">
      <w:start w:val="0"/>
      <w:numFmt w:val="bullet"/>
      <w:lvlText w:val="•"/>
      <w:lvlJc w:val="left"/>
      <w:pPr>
        <w:ind w:left="2262" w:hanging="233"/>
      </w:pPr>
      <w:rPr>
        <w:rFonts w:hint="default"/>
        <w:lang w:val="es-ES" w:eastAsia="es-ES" w:bidi="es-ES"/>
      </w:rPr>
    </w:lvl>
    <w:lvl w:ilvl="3">
      <w:start w:val="0"/>
      <w:numFmt w:val="bullet"/>
      <w:lvlText w:val="•"/>
      <w:lvlJc w:val="left"/>
      <w:pPr>
        <w:ind w:left="3184" w:hanging="233"/>
      </w:pPr>
      <w:rPr>
        <w:rFonts w:hint="default"/>
        <w:lang w:val="es-ES" w:eastAsia="es-ES" w:bidi="es-ES"/>
      </w:rPr>
    </w:lvl>
    <w:lvl w:ilvl="4">
      <w:start w:val="0"/>
      <w:numFmt w:val="bullet"/>
      <w:lvlText w:val="•"/>
      <w:lvlJc w:val="left"/>
      <w:pPr>
        <w:ind w:left="4106" w:hanging="233"/>
      </w:pPr>
      <w:rPr>
        <w:rFonts w:hint="default"/>
        <w:lang w:val="es-ES" w:eastAsia="es-ES" w:bidi="es-ES"/>
      </w:rPr>
    </w:lvl>
    <w:lvl w:ilvl="5">
      <w:start w:val="0"/>
      <w:numFmt w:val="bullet"/>
      <w:lvlText w:val="•"/>
      <w:lvlJc w:val="left"/>
      <w:pPr>
        <w:ind w:left="5028" w:hanging="233"/>
      </w:pPr>
      <w:rPr>
        <w:rFonts w:hint="default"/>
        <w:lang w:val="es-ES" w:eastAsia="es-ES" w:bidi="es-ES"/>
      </w:rPr>
    </w:lvl>
    <w:lvl w:ilvl="6">
      <w:start w:val="0"/>
      <w:numFmt w:val="bullet"/>
      <w:lvlText w:val="•"/>
      <w:lvlJc w:val="left"/>
      <w:pPr>
        <w:ind w:left="5951" w:hanging="233"/>
      </w:pPr>
      <w:rPr>
        <w:rFonts w:hint="default"/>
        <w:lang w:val="es-ES" w:eastAsia="es-ES" w:bidi="es-ES"/>
      </w:rPr>
    </w:lvl>
    <w:lvl w:ilvl="7">
      <w:start w:val="0"/>
      <w:numFmt w:val="bullet"/>
      <w:lvlText w:val="•"/>
      <w:lvlJc w:val="left"/>
      <w:pPr>
        <w:ind w:left="6873" w:hanging="233"/>
      </w:pPr>
      <w:rPr>
        <w:rFonts w:hint="default"/>
        <w:lang w:val="es-ES" w:eastAsia="es-ES" w:bidi="es-ES"/>
      </w:rPr>
    </w:lvl>
    <w:lvl w:ilvl="8">
      <w:start w:val="0"/>
      <w:numFmt w:val="bullet"/>
      <w:lvlText w:val="•"/>
      <w:lvlJc w:val="left"/>
      <w:pPr>
        <w:ind w:left="7795" w:hanging="233"/>
      </w:pPr>
      <w:rPr>
        <w:rFonts w:hint="default"/>
        <w:lang w:val="es-ES" w:eastAsia="es-ES" w:bidi="es-ES"/>
      </w:rPr>
    </w:lvl>
  </w:abstractNum>
  <w:abstractNum w:abstractNumId="10">
    <w:multiLevelType w:val="hybridMultilevel"/>
    <w:lvl w:ilvl="0">
      <w:start w:val="1"/>
      <w:numFmt w:val="upperRoman"/>
      <w:lvlText w:val="%1."/>
      <w:lvlJc w:val="left"/>
      <w:pPr>
        <w:ind w:left="838" w:hanging="18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88"/>
      </w:pPr>
      <w:rPr>
        <w:rFonts w:hint="default"/>
        <w:lang w:val="es-ES" w:eastAsia="es-ES" w:bidi="es-ES"/>
      </w:rPr>
    </w:lvl>
    <w:lvl w:ilvl="2">
      <w:start w:val="0"/>
      <w:numFmt w:val="bullet"/>
      <w:lvlText w:val="•"/>
      <w:lvlJc w:val="left"/>
      <w:pPr>
        <w:ind w:left="2600" w:hanging="188"/>
      </w:pPr>
      <w:rPr>
        <w:rFonts w:hint="default"/>
        <w:lang w:val="es-ES" w:eastAsia="es-ES" w:bidi="es-ES"/>
      </w:rPr>
    </w:lvl>
    <w:lvl w:ilvl="3">
      <w:start w:val="0"/>
      <w:numFmt w:val="bullet"/>
      <w:lvlText w:val="•"/>
      <w:lvlJc w:val="left"/>
      <w:pPr>
        <w:ind w:left="3480" w:hanging="188"/>
      </w:pPr>
      <w:rPr>
        <w:rFonts w:hint="default"/>
        <w:lang w:val="es-ES" w:eastAsia="es-ES" w:bidi="es-ES"/>
      </w:rPr>
    </w:lvl>
    <w:lvl w:ilvl="4">
      <w:start w:val="0"/>
      <w:numFmt w:val="bullet"/>
      <w:lvlText w:val="•"/>
      <w:lvlJc w:val="left"/>
      <w:pPr>
        <w:ind w:left="4360" w:hanging="188"/>
      </w:pPr>
      <w:rPr>
        <w:rFonts w:hint="default"/>
        <w:lang w:val="es-ES" w:eastAsia="es-ES" w:bidi="es-ES"/>
      </w:rPr>
    </w:lvl>
    <w:lvl w:ilvl="5">
      <w:start w:val="0"/>
      <w:numFmt w:val="bullet"/>
      <w:lvlText w:val="•"/>
      <w:lvlJc w:val="left"/>
      <w:pPr>
        <w:ind w:left="5240" w:hanging="188"/>
      </w:pPr>
      <w:rPr>
        <w:rFonts w:hint="default"/>
        <w:lang w:val="es-ES" w:eastAsia="es-ES" w:bidi="es-ES"/>
      </w:rPr>
    </w:lvl>
    <w:lvl w:ilvl="6">
      <w:start w:val="0"/>
      <w:numFmt w:val="bullet"/>
      <w:lvlText w:val="•"/>
      <w:lvlJc w:val="left"/>
      <w:pPr>
        <w:ind w:left="6120" w:hanging="188"/>
      </w:pPr>
      <w:rPr>
        <w:rFonts w:hint="default"/>
        <w:lang w:val="es-ES" w:eastAsia="es-ES" w:bidi="es-ES"/>
      </w:rPr>
    </w:lvl>
    <w:lvl w:ilvl="7">
      <w:start w:val="0"/>
      <w:numFmt w:val="bullet"/>
      <w:lvlText w:val="•"/>
      <w:lvlJc w:val="left"/>
      <w:pPr>
        <w:ind w:left="7000" w:hanging="188"/>
      </w:pPr>
      <w:rPr>
        <w:rFonts w:hint="default"/>
        <w:lang w:val="es-ES" w:eastAsia="es-ES" w:bidi="es-ES"/>
      </w:rPr>
    </w:lvl>
    <w:lvl w:ilvl="8">
      <w:start w:val="0"/>
      <w:numFmt w:val="bullet"/>
      <w:lvlText w:val="•"/>
      <w:lvlJc w:val="left"/>
      <w:pPr>
        <w:ind w:left="7880" w:hanging="188"/>
      </w:pPr>
      <w:rPr>
        <w:rFonts w:hint="default"/>
        <w:lang w:val="es-ES" w:eastAsia="es-ES" w:bidi="es-ES"/>
      </w:rPr>
    </w:lvl>
  </w:abstractNum>
  <w:abstractNum w:abstractNumId="9">
    <w:multiLevelType w:val="hybridMultilevel"/>
    <w:lvl w:ilvl="0">
      <w:start w:val="1"/>
      <w:numFmt w:val="upperRoman"/>
      <w:lvlText w:val="%1."/>
      <w:lvlJc w:val="left"/>
      <w:pPr>
        <w:ind w:left="838" w:hanging="21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2"/>
      </w:pPr>
      <w:rPr>
        <w:rFonts w:hint="default"/>
        <w:lang w:val="es-ES" w:eastAsia="es-ES" w:bidi="es-ES"/>
      </w:rPr>
    </w:lvl>
    <w:lvl w:ilvl="2">
      <w:start w:val="0"/>
      <w:numFmt w:val="bullet"/>
      <w:lvlText w:val="•"/>
      <w:lvlJc w:val="left"/>
      <w:pPr>
        <w:ind w:left="2600" w:hanging="212"/>
      </w:pPr>
      <w:rPr>
        <w:rFonts w:hint="default"/>
        <w:lang w:val="es-ES" w:eastAsia="es-ES" w:bidi="es-ES"/>
      </w:rPr>
    </w:lvl>
    <w:lvl w:ilvl="3">
      <w:start w:val="0"/>
      <w:numFmt w:val="bullet"/>
      <w:lvlText w:val="•"/>
      <w:lvlJc w:val="left"/>
      <w:pPr>
        <w:ind w:left="3480" w:hanging="212"/>
      </w:pPr>
      <w:rPr>
        <w:rFonts w:hint="default"/>
        <w:lang w:val="es-ES" w:eastAsia="es-ES" w:bidi="es-ES"/>
      </w:rPr>
    </w:lvl>
    <w:lvl w:ilvl="4">
      <w:start w:val="0"/>
      <w:numFmt w:val="bullet"/>
      <w:lvlText w:val="•"/>
      <w:lvlJc w:val="left"/>
      <w:pPr>
        <w:ind w:left="4360" w:hanging="212"/>
      </w:pPr>
      <w:rPr>
        <w:rFonts w:hint="default"/>
        <w:lang w:val="es-ES" w:eastAsia="es-ES" w:bidi="es-ES"/>
      </w:rPr>
    </w:lvl>
    <w:lvl w:ilvl="5">
      <w:start w:val="0"/>
      <w:numFmt w:val="bullet"/>
      <w:lvlText w:val="•"/>
      <w:lvlJc w:val="left"/>
      <w:pPr>
        <w:ind w:left="5240" w:hanging="212"/>
      </w:pPr>
      <w:rPr>
        <w:rFonts w:hint="default"/>
        <w:lang w:val="es-ES" w:eastAsia="es-ES" w:bidi="es-ES"/>
      </w:rPr>
    </w:lvl>
    <w:lvl w:ilvl="6">
      <w:start w:val="0"/>
      <w:numFmt w:val="bullet"/>
      <w:lvlText w:val="•"/>
      <w:lvlJc w:val="left"/>
      <w:pPr>
        <w:ind w:left="6120" w:hanging="212"/>
      </w:pPr>
      <w:rPr>
        <w:rFonts w:hint="default"/>
        <w:lang w:val="es-ES" w:eastAsia="es-ES" w:bidi="es-ES"/>
      </w:rPr>
    </w:lvl>
    <w:lvl w:ilvl="7">
      <w:start w:val="0"/>
      <w:numFmt w:val="bullet"/>
      <w:lvlText w:val="•"/>
      <w:lvlJc w:val="left"/>
      <w:pPr>
        <w:ind w:left="7000" w:hanging="212"/>
      </w:pPr>
      <w:rPr>
        <w:rFonts w:hint="default"/>
        <w:lang w:val="es-ES" w:eastAsia="es-ES" w:bidi="es-ES"/>
      </w:rPr>
    </w:lvl>
    <w:lvl w:ilvl="8">
      <w:start w:val="0"/>
      <w:numFmt w:val="bullet"/>
      <w:lvlText w:val="•"/>
      <w:lvlJc w:val="left"/>
      <w:pPr>
        <w:ind w:left="7880" w:hanging="212"/>
      </w:pPr>
      <w:rPr>
        <w:rFonts w:hint="default"/>
        <w:lang w:val="es-ES" w:eastAsia="es-ES" w:bidi="es-ES"/>
      </w:rPr>
    </w:lvl>
  </w:abstractNum>
  <w:abstractNum w:abstractNumId="8">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7">
    <w:multiLevelType w:val="hybridMultilevel"/>
    <w:lvl w:ilvl="0">
      <w:start w:val="1"/>
      <w:numFmt w:val="upperRoman"/>
      <w:lvlText w:val="%1."/>
      <w:lvlJc w:val="left"/>
      <w:pPr>
        <w:ind w:left="838" w:hanging="21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6"/>
      </w:pPr>
      <w:rPr>
        <w:rFonts w:hint="default"/>
        <w:lang w:val="es-ES" w:eastAsia="es-ES" w:bidi="es-ES"/>
      </w:rPr>
    </w:lvl>
    <w:lvl w:ilvl="2">
      <w:start w:val="0"/>
      <w:numFmt w:val="bullet"/>
      <w:lvlText w:val="•"/>
      <w:lvlJc w:val="left"/>
      <w:pPr>
        <w:ind w:left="2600" w:hanging="216"/>
      </w:pPr>
      <w:rPr>
        <w:rFonts w:hint="default"/>
        <w:lang w:val="es-ES" w:eastAsia="es-ES" w:bidi="es-ES"/>
      </w:rPr>
    </w:lvl>
    <w:lvl w:ilvl="3">
      <w:start w:val="0"/>
      <w:numFmt w:val="bullet"/>
      <w:lvlText w:val="•"/>
      <w:lvlJc w:val="left"/>
      <w:pPr>
        <w:ind w:left="3480" w:hanging="216"/>
      </w:pPr>
      <w:rPr>
        <w:rFonts w:hint="default"/>
        <w:lang w:val="es-ES" w:eastAsia="es-ES" w:bidi="es-ES"/>
      </w:rPr>
    </w:lvl>
    <w:lvl w:ilvl="4">
      <w:start w:val="0"/>
      <w:numFmt w:val="bullet"/>
      <w:lvlText w:val="•"/>
      <w:lvlJc w:val="left"/>
      <w:pPr>
        <w:ind w:left="4360" w:hanging="216"/>
      </w:pPr>
      <w:rPr>
        <w:rFonts w:hint="default"/>
        <w:lang w:val="es-ES" w:eastAsia="es-ES" w:bidi="es-ES"/>
      </w:rPr>
    </w:lvl>
    <w:lvl w:ilvl="5">
      <w:start w:val="0"/>
      <w:numFmt w:val="bullet"/>
      <w:lvlText w:val="•"/>
      <w:lvlJc w:val="left"/>
      <w:pPr>
        <w:ind w:left="5240" w:hanging="216"/>
      </w:pPr>
      <w:rPr>
        <w:rFonts w:hint="default"/>
        <w:lang w:val="es-ES" w:eastAsia="es-ES" w:bidi="es-ES"/>
      </w:rPr>
    </w:lvl>
    <w:lvl w:ilvl="6">
      <w:start w:val="0"/>
      <w:numFmt w:val="bullet"/>
      <w:lvlText w:val="•"/>
      <w:lvlJc w:val="left"/>
      <w:pPr>
        <w:ind w:left="6120" w:hanging="216"/>
      </w:pPr>
      <w:rPr>
        <w:rFonts w:hint="default"/>
        <w:lang w:val="es-ES" w:eastAsia="es-ES" w:bidi="es-ES"/>
      </w:rPr>
    </w:lvl>
    <w:lvl w:ilvl="7">
      <w:start w:val="0"/>
      <w:numFmt w:val="bullet"/>
      <w:lvlText w:val="•"/>
      <w:lvlJc w:val="left"/>
      <w:pPr>
        <w:ind w:left="7000" w:hanging="216"/>
      </w:pPr>
      <w:rPr>
        <w:rFonts w:hint="default"/>
        <w:lang w:val="es-ES" w:eastAsia="es-ES" w:bidi="es-ES"/>
      </w:rPr>
    </w:lvl>
    <w:lvl w:ilvl="8">
      <w:start w:val="0"/>
      <w:numFmt w:val="bullet"/>
      <w:lvlText w:val="•"/>
      <w:lvlJc w:val="left"/>
      <w:pPr>
        <w:ind w:left="7880" w:hanging="216"/>
      </w:pPr>
      <w:rPr>
        <w:rFonts w:hint="default"/>
        <w:lang w:val="es-ES" w:eastAsia="es-ES" w:bidi="es-ES"/>
      </w:rPr>
    </w:lvl>
  </w:abstractNum>
  <w:abstractNum w:abstractNumId="6">
    <w:multiLevelType w:val="hybridMultilevel"/>
    <w:lvl w:ilvl="0">
      <w:start w:val="1"/>
      <w:numFmt w:val="upperRoman"/>
      <w:lvlText w:val="%1."/>
      <w:lvlJc w:val="left"/>
      <w:pPr>
        <w:ind w:left="838" w:hanging="21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9"/>
      </w:pPr>
      <w:rPr>
        <w:rFonts w:hint="default"/>
        <w:lang w:val="es-ES" w:eastAsia="es-ES" w:bidi="es-ES"/>
      </w:rPr>
    </w:lvl>
    <w:lvl w:ilvl="2">
      <w:start w:val="0"/>
      <w:numFmt w:val="bullet"/>
      <w:lvlText w:val="•"/>
      <w:lvlJc w:val="left"/>
      <w:pPr>
        <w:ind w:left="2600" w:hanging="219"/>
      </w:pPr>
      <w:rPr>
        <w:rFonts w:hint="default"/>
        <w:lang w:val="es-ES" w:eastAsia="es-ES" w:bidi="es-ES"/>
      </w:rPr>
    </w:lvl>
    <w:lvl w:ilvl="3">
      <w:start w:val="0"/>
      <w:numFmt w:val="bullet"/>
      <w:lvlText w:val="•"/>
      <w:lvlJc w:val="left"/>
      <w:pPr>
        <w:ind w:left="3480" w:hanging="219"/>
      </w:pPr>
      <w:rPr>
        <w:rFonts w:hint="default"/>
        <w:lang w:val="es-ES" w:eastAsia="es-ES" w:bidi="es-ES"/>
      </w:rPr>
    </w:lvl>
    <w:lvl w:ilvl="4">
      <w:start w:val="0"/>
      <w:numFmt w:val="bullet"/>
      <w:lvlText w:val="•"/>
      <w:lvlJc w:val="left"/>
      <w:pPr>
        <w:ind w:left="4360" w:hanging="219"/>
      </w:pPr>
      <w:rPr>
        <w:rFonts w:hint="default"/>
        <w:lang w:val="es-ES" w:eastAsia="es-ES" w:bidi="es-ES"/>
      </w:rPr>
    </w:lvl>
    <w:lvl w:ilvl="5">
      <w:start w:val="0"/>
      <w:numFmt w:val="bullet"/>
      <w:lvlText w:val="•"/>
      <w:lvlJc w:val="left"/>
      <w:pPr>
        <w:ind w:left="5240" w:hanging="219"/>
      </w:pPr>
      <w:rPr>
        <w:rFonts w:hint="default"/>
        <w:lang w:val="es-ES" w:eastAsia="es-ES" w:bidi="es-ES"/>
      </w:rPr>
    </w:lvl>
    <w:lvl w:ilvl="6">
      <w:start w:val="0"/>
      <w:numFmt w:val="bullet"/>
      <w:lvlText w:val="•"/>
      <w:lvlJc w:val="left"/>
      <w:pPr>
        <w:ind w:left="6120" w:hanging="219"/>
      </w:pPr>
      <w:rPr>
        <w:rFonts w:hint="default"/>
        <w:lang w:val="es-ES" w:eastAsia="es-ES" w:bidi="es-ES"/>
      </w:rPr>
    </w:lvl>
    <w:lvl w:ilvl="7">
      <w:start w:val="0"/>
      <w:numFmt w:val="bullet"/>
      <w:lvlText w:val="•"/>
      <w:lvlJc w:val="left"/>
      <w:pPr>
        <w:ind w:left="7000" w:hanging="219"/>
      </w:pPr>
      <w:rPr>
        <w:rFonts w:hint="default"/>
        <w:lang w:val="es-ES" w:eastAsia="es-ES" w:bidi="es-ES"/>
      </w:rPr>
    </w:lvl>
    <w:lvl w:ilvl="8">
      <w:start w:val="0"/>
      <w:numFmt w:val="bullet"/>
      <w:lvlText w:val="•"/>
      <w:lvlJc w:val="left"/>
      <w:pPr>
        <w:ind w:left="7880" w:hanging="219"/>
      </w:pPr>
      <w:rPr>
        <w:rFonts w:hint="default"/>
        <w:lang w:val="es-ES" w:eastAsia="es-ES" w:bidi="es-ES"/>
      </w:rPr>
    </w:lvl>
  </w:abstractNum>
  <w:abstractNum w:abstractNumId="5">
    <w:multiLevelType w:val="hybridMultilevel"/>
    <w:lvl w:ilvl="0">
      <w:start w:val="1"/>
      <w:numFmt w:val="upperRoman"/>
      <w:lvlText w:val="%1."/>
      <w:lvlJc w:val="left"/>
      <w:pPr>
        <w:ind w:left="1198" w:hanging="36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044" w:hanging="360"/>
      </w:pPr>
      <w:rPr>
        <w:rFonts w:hint="default"/>
        <w:lang w:val="es-ES" w:eastAsia="es-ES" w:bidi="es-ES"/>
      </w:rPr>
    </w:lvl>
    <w:lvl w:ilvl="2">
      <w:start w:val="0"/>
      <w:numFmt w:val="bullet"/>
      <w:lvlText w:val="•"/>
      <w:lvlJc w:val="left"/>
      <w:pPr>
        <w:ind w:left="2888" w:hanging="360"/>
      </w:pPr>
      <w:rPr>
        <w:rFonts w:hint="default"/>
        <w:lang w:val="es-ES" w:eastAsia="es-ES" w:bidi="es-ES"/>
      </w:rPr>
    </w:lvl>
    <w:lvl w:ilvl="3">
      <w:start w:val="0"/>
      <w:numFmt w:val="bullet"/>
      <w:lvlText w:val="•"/>
      <w:lvlJc w:val="left"/>
      <w:pPr>
        <w:ind w:left="3732" w:hanging="360"/>
      </w:pPr>
      <w:rPr>
        <w:rFonts w:hint="default"/>
        <w:lang w:val="es-ES" w:eastAsia="es-ES" w:bidi="es-ES"/>
      </w:rPr>
    </w:lvl>
    <w:lvl w:ilvl="4">
      <w:start w:val="0"/>
      <w:numFmt w:val="bullet"/>
      <w:lvlText w:val="•"/>
      <w:lvlJc w:val="left"/>
      <w:pPr>
        <w:ind w:left="4576" w:hanging="360"/>
      </w:pPr>
      <w:rPr>
        <w:rFonts w:hint="default"/>
        <w:lang w:val="es-ES" w:eastAsia="es-ES" w:bidi="es-ES"/>
      </w:rPr>
    </w:lvl>
    <w:lvl w:ilvl="5">
      <w:start w:val="0"/>
      <w:numFmt w:val="bullet"/>
      <w:lvlText w:val="•"/>
      <w:lvlJc w:val="left"/>
      <w:pPr>
        <w:ind w:left="5420" w:hanging="360"/>
      </w:pPr>
      <w:rPr>
        <w:rFonts w:hint="default"/>
        <w:lang w:val="es-ES" w:eastAsia="es-ES" w:bidi="es-ES"/>
      </w:rPr>
    </w:lvl>
    <w:lvl w:ilvl="6">
      <w:start w:val="0"/>
      <w:numFmt w:val="bullet"/>
      <w:lvlText w:val="•"/>
      <w:lvlJc w:val="left"/>
      <w:pPr>
        <w:ind w:left="6264" w:hanging="360"/>
      </w:pPr>
      <w:rPr>
        <w:rFonts w:hint="default"/>
        <w:lang w:val="es-ES" w:eastAsia="es-ES" w:bidi="es-ES"/>
      </w:rPr>
    </w:lvl>
    <w:lvl w:ilvl="7">
      <w:start w:val="0"/>
      <w:numFmt w:val="bullet"/>
      <w:lvlText w:val="•"/>
      <w:lvlJc w:val="left"/>
      <w:pPr>
        <w:ind w:left="7108" w:hanging="360"/>
      </w:pPr>
      <w:rPr>
        <w:rFonts w:hint="default"/>
        <w:lang w:val="es-ES" w:eastAsia="es-ES" w:bidi="es-ES"/>
      </w:rPr>
    </w:lvl>
    <w:lvl w:ilvl="8">
      <w:start w:val="0"/>
      <w:numFmt w:val="bullet"/>
      <w:lvlText w:val="•"/>
      <w:lvlJc w:val="left"/>
      <w:pPr>
        <w:ind w:left="7952" w:hanging="360"/>
      </w:pPr>
      <w:rPr>
        <w:rFonts w:hint="default"/>
        <w:lang w:val="es-ES" w:eastAsia="es-ES" w:bidi="es-ES"/>
      </w:rPr>
    </w:lvl>
  </w:abstractNum>
  <w:abstractNum w:abstractNumId="4">
    <w:multiLevelType w:val="hybridMultilevel"/>
    <w:lvl w:ilvl="0">
      <w:start w:val="1"/>
      <w:numFmt w:val="upperRoman"/>
      <w:lvlText w:val="%1."/>
      <w:lvlJc w:val="left"/>
      <w:pPr>
        <w:ind w:left="838" w:hanging="20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02"/>
      </w:pPr>
      <w:rPr>
        <w:rFonts w:hint="default"/>
        <w:lang w:val="es-ES" w:eastAsia="es-ES" w:bidi="es-ES"/>
      </w:rPr>
    </w:lvl>
    <w:lvl w:ilvl="2">
      <w:start w:val="0"/>
      <w:numFmt w:val="bullet"/>
      <w:lvlText w:val="•"/>
      <w:lvlJc w:val="left"/>
      <w:pPr>
        <w:ind w:left="2600" w:hanging="202"/>
      </w:pPr>
      <w:rPr>
        <w:rFonts w:hint="default"/>
        <w:lang w:val="es-ES" w:eastAsia="es-ES" w:bidi="es-ES"/>
      </w:rPr>
    </w:lvl>
    <w:lvl w:ilvl="3">
      <w:start w:val="0"/>
      <w:numFmt w:val="bullet"/>
      <w:lvlText w:val="•"/>
      <w:lvlJc w:val="left"/>
      <w:pPr>
        <w:ind w:left="3480" w:hanging="202"/>
      </w:pPr>
      <w:rPr>
        <w:rFonts w:hint="default"/>
        <w:lang w:val="es-ES" w:eastAsia="es-ES" w:bidi="es-ES"/>
      </w:rPr>
    </w:lvl>
    <w:lvl w:ilvl="4">
      <w:start w:val="0"/>
      <w:numFmt w:val="bullet"/>
      <w:lvlText w:val="•"/>
      <w:lvlJc w:val="left"/>
      <w:pPr>
        <w:ind w:left="4360" w:hanging="202"/>
      </w:pPr>
      <w:rPr>
        <w:rFonts w:hint="default"/>
        <w:lang w:val="es-ES" w:eastAsia="es-ES" w:bidi="es-ES"/>
      </w:rPr>
    </w:lvl>
    <w:lvl w:ilvl="5">
      <w:start w:val="0"/>
      <w:numFmt w:val="bullet"/>
      <w:lvlText w:val="•"/>
      <w:lvlJc w:val="left"/>
      <w:pPr>
        <w:ind w:left="5240" w:hanging="202"/>
      </w:pPr>
      <w:rPr>
        <w:rFonts w:hint="default"/>
        <w:lang w:val="es-ES" w:eastAsia="es-ES" w:bidi="es-ES"/>
      </w:rPr>
    </w:lvl>
    <w:lvl w:ilvl="6">
      <w:start w:val="0"/>
      <w:numFmt w:val="bullet"/>
      <w:lvlText w:val="•"/>
      <w:lvlJc w:val="left"/>
      <w:pPr>
        <w:ind w:left="6120" w:hanging="202"/>
      </w:pPr>
      <w:rPr>
        <w:rFonts w:hint="default"/>
        <w:lang w:val="es-ES" w:eastAsia="es-ES" w:bidi="es-ES"/>
      </w:rPr>
    </w:lvl>
    <w:lvl w:ilvl="7">
      <w:start w:val="0"/>
      <w:numFmt w:val="bullet"/>
      <w:lvlText w:val="•"/>
      <w:lvlJc w:val="left"/>
      <w:pPr>
        <w:ind w:left="7000" w:hanging="202"/>
      </w:pPr>
      <w:rPr>
        <w:rFonts w:hint="default"/>
        <w:lang w:val="es-ES" w:eastAsia="es-ES" w:bidi="es-ES"/>
      </w:rPr>
    </w:lvl>
    <w:lvl w:ilvl="8">
      <w:start w:val="0"/>
      <w:numFmt w:val="bullet"/>
      <w:lvlText w:val="•"/>
      <w:lvlJc w:val="left"/>
      <w:pPr>
        <w:ind w:left="7880" w:hanging="202"/>
      </w:pPr>
      <w:rPr>
        <w:rFonts w:hint="default"/>
        <w:lang w:val="es-ES" w:eastAsia="es-ES" w:bidi="es-ES"/>
      </w:rPr>
    </w:lvl>
  </w:abstractNum>
  <w:abstractNum w:abstractNumId="3">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838" w:hanging="236"/>
        <w:jc w:val="left"/>
      </w:pPr>
      <w:rPr>
        <w:rFonts w:hint="default" w:ascii="Arial" w:hAnsi="Arial" w:eastAsia="Arial" w:cs="Arial"/>
        <w:b/>
        <w:bCs/>
        <w:w w:val="99"/>
        <w:sz w:val="20"/>
        <w:szCs w:val="20"/>
        <w:lang w:val="es-ES" w:eastAsia="es-ES" w:bidi="es-ES"/>
      </w:rPr>
    </w:lvl>
    <w:lvl w:ilvl="2">
      <w:start w:val="0"/>
      <w:numFmt w:val="bullet"/>
      <w:lvlText w:val="•"/>
      <w:lvlJc w:val="left"/>
      <w:pPr>
        <w:ind w:left="2031" w:hanging="236"/>
      </w:pPr>
      <w:rPr>
        <w:rFonts w:hint="default"/>
        <w:lang w:val="es-ES" w:eastAsia="es-ES" w:bidi="es-ES"/>
      </w:rPr>
    </w:lvl>
    <w:lvl w:ilvl="3">
      <w:start w:val="0"/>
      <w:numFmt w:val="bullet"/>
      <w:lvlText w:val="•"/>
      <w:lvlJc w:val="left"/>
      <w:pPr>
        <w:ind w:left="2982" w:hanging="236"/>
      </w:pPr>
      <w:rPr>
        <w:rFonts w:hint="default"/>
        <w:lang w:val="es-ES" w:eastAsia="es-ES" w:bidi="es-ES"/>
      </w:rPr>
    </w:lvl>
    <w:lvl w:ilvl="4">
      <w:start w:val="0"/>
      <w:numFmt w:val="bullet"/>
      <w:lvlText w:val="•"/>
      <w:lvlJc w:val="left"/>
      <w:pPr>
        <w:ind w:left="3933" w:hanging="236"/>
      </w:pPr>
      <w:rPr>
        <w:rFonts w:hint="default"/>
        <w:lang w:val="es-ES" w:eastAsia="es-ES" w:bidi="es-ES"/>
      </w:rPr>
    </w:lvl>
    <w:lvl w:ilvl="5">
      <w:start w:val="0"/>
      <w:numFmt w:val="bullet"/>
      <w:lvlText w:val="•"/>
      <w:lvlJc w:val="left"/>
      <w:pPr>
        <w:ind w:left="4884" w:hanging="236"/>
      </w:pPr>
      <w:rPr>
        <w:rFonts w:hint="default"/>
        <w:lang w:val="es-ES" w:eastAsia="es-ES" w:bidi="es-ES"/>
      </w:rPr>
    </w:lvl>
    <w:lvl w:ilvl="6">
      <w:start w:val="0"/>
      <w:numFmt w:val="bullet"/>
      <w:lvlText w:val="•"/>
      <w:lvlJc w:val="left"/>
      <w:pPr>
        <w:ind w:left="5835" w:hanging="236"/>
      </w:pPr>
      <w:rPr>
        <w:rFonts w:hint="default"/>
        <w:lang w:val="es-ES" w:eastAsia="es-ES" w:bidi="es-ES"/>
      </w:rPr>
    </w:lvl>
    <w:lvl w:ilvl="7">
      <w:start w:val="0"/>
      <w:numFmt w:val="bullet"/>
      <w:lvlText w:val="•"/>
      <w:lvlJc w:val="left"/>
      <w:pPr>
        <w:ind w:left="6786" w:hanging="236"/>
      </w:pPr>
      <w:rPr>
        <w:rFonts w:hint="default"/>
        <w:lang w:val="es-ES" w:eastAsia="es-ES" w:bidi="es-ES"/>
      </w:rPr>
    </w:lvl>
    <w:lvl w:ilvl="8">
      <w:start w:val="0"/>
      <w:numFmt w:val="bullet"/>
      <w:lvlText w:val="•"/>
      <w:lvlJc w:val="left"/>
      <w:pPr>
        <w:ind w:left="7737" w:hanging="236"/>
      </w:pPr>
      <w:rPr>
        <w:rFonts w:hint="default"/>
        <w:lang w:val="es-ES" w:eastAsia="es-ES" w:bidi="es-ES"/>
      </w:rPr>
    </w:lvl>
  </w:abstractNum>
  <w:abstractNum w:abstractNumId="2">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1004" w:hanging="166"/>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1198" w:hanging="236"/>
        <w:jc w:val="left"/>
      </w:pPr>
      <w:rPr>
        <w:rFonts w:hint="default" w:ascii="Arial" w:hAnsi="Arial" w:eastAsia="Arial" w:cs="Arial"/>
        <w:b/>
        <w:bCs/>
        <w:w w:val="99"/>
        <w:sz w:val="20"/>
        <w:szCs w:val="20"/>
        <w:lang w:val="es-ES" w:eastAsia="es-ES" w:bidi="es-ES"/>
      </w:rPr>
    </w:lvl>
    <w:lvl w:ilvl="3">
      <w:start w:val="0"/>
      <w:numFmt w:val="bullet"/>
      <w:lvlText w:val="•"/>
      <w:lvlJc w:val="left"/>
      <w:pPr>
        <w:ind w:left="2255" w:hanging="236"/>
      </w:pPr>
      <w:rPr>
        <w:rFonts w:hint="default"/>
        <w:lang w:val="es-ES" w:eastAsia="es-ES" w:bidi="es-ES"/>
      </w:rPr>
    </w:lvl>
    <w:lvl w:ilvl="4">
      <w:start w:val="0"/>
      <w:numFmt w:val="bullet"/>
      <w:lvlText w:val="•"/>
      <w:lvlJc w:val="left"/>
      <w:pPr>
        <w:ind w:left="3310" w:hanging="236"/>
      </w:pPr>
      <w:rPr>
        <w:rFonts w:hint="default"/>
        <w:lang w:val="es-ES" w:eastAsia="es-ES" w:bidi="es-ES"/>
      </w:rPr>
    </w:lvl>
    <w:lvl w:ilvl="5">
      <w:start w:val="0"/>
      <w:numFmt w:val="bullet"/>
      <w:lvlText w:val="•"/>
      <w:lvlJc w:val="left"/>
      <w:pPr>
        <w:ind w:left="4365" w:hanging="236"/>
      </w:pPr>
      <w:rPr>
        <w:rFonts w:hint="default"/>
        <w:lang w:val="es-ES" w:eastAsia="es-ES" w:bidi="es-ES"/>
      </w:rPr>
    </w:lvl>
    <w:lvl w:ilvl="6">
      <w:start w:val="0"/>
      <w:numFmt w:val="bullet"/>
      <w:lvlText w:val="•"/>
      <w:lvlJc w:val="left"/>
      <w:pPr>
        <w:ind w:left="5420" w:hanging="236"/>
      </w:pPr>
      <w:rPr>
        <w:rFonts w:hint="default"/>
        <w:lang w:val="es-ES" w:eastAsia="es-ES" w:bidi="es-ES"/>
      </w:rPr>
    </w:lvl>
    <w:lvl w:ilvl="7">
      <w:start w:val="0"/>
      <w:numFmt w:val="bullet"/>
      <w:lvlText w:val="•"/>
      <w:lvlJc w:val="left"/>
      <w:pPr>
        <w:ind w:left="6475" w:hanging="236"/>
      </w:pPr>
      <w:rPr>
        <w:rFonts w:hint="default"/>
        <w:lang w:val="es-ES" w:eastAsia="es-ES" w:bidi="es-ES"/>
      </w:rPr>
    </w:lvl>
    <w:lvl w:ilvl="8">
      <w:start w:val="0"/>
      <w:numFmt w:val="bullet"/>
      <w:lvlText w:val="•"/>
      <w:lvlJc w:val="left"/>
      <w:pPr>
        <w:ind w:left="7530" w:hanging="236"/>
      </w:pPr>
      <w:rPr>
        <w:rFonts w:hint="default"/>
        <w:lang w:val="es-ES" w:eastAsia="es-ES" w:bidi="es-ES"/>
      </w:rPr>
    </w:lvl>
  </w:abstractNum>
  <w:abstractNum w:abstractNumId="1">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838" w:hanging="171"/>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1198" w:hanging="291"/>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3075" w:hanging="291"/>
      </w:pPr>
      <w:rPr>
        <w:rFonts w:hint="default"/>
        <w:lang w:val="es-ES" w:eastAsia="es-ES" w:bidi="es-ES"/>
      </w:rPr>
    </w:lvl>
    <w:lvl w:ilvl="4">
      <w:start w:val="0"/>
      <w:numFmt w:val="bullet"/>
      <w:lvlText w:val="•"/>
      <w:lvlJc w:val="left"/>
      <w:pPr>
        <w:ind w:left="4013" w:hanging="291"/>
      </w:pPr>
      <w:rPr>
        <w:rFonts w:hint="default"/>
        <w:lang w:val="es-ES" w:eastAsia="es-ES" w:bidi="es-ES"/>
      </w:rPr>
    </w:lvl>
    <w:lvl w:ilvl="5">
      <w:start w:val="0"/>
      <w:numFmt w:val="bullet"/>
      <w:lvlText w:val="•"/>
      <w:lvlJc w:val="left"/>
      <w:pPr>
        <w:ind w:left="4951" w:hanging="291"/>
      </w:pPr>
      <w:rPr>
        <w:rFonts w:hint="default"/>
        <w:lang w:val="es-ES" w:eastAsia="es-ES" w:bidi="es-ES"/>
      </w:rPr>
    </w:lvl>
    <w:lvl w:ilvl="6">
      <w:start w:val="0"/>
      <w:numFmt w:val="bullet"/>
      <w:lvlText w:val="•"/>
      <w:lvlJc w:val="left"/>
      <w:pPr>
        <w:ind w:left="5888" w:hanging="291"/>
      </w:pPr>
      <w:rPr>
        <w:rFonts w:hint="default"/>
        <w:lang w:val="es-ES" w:eastAsia="es-ES" w:bidi="es-ES"/>
      </w:rPr>
    </w:lvl>
    <w:lvl w:ilvl="7">
      <w:start w:val="0"/>
      <w:numFmt w:val="bullet"/>
      <w:lvlText w:val="•"/>
      <w:lvlJc w:val="left"/>
      <w:pPr>
        <w:ind w:left="6826" w:hanging="291"/>
      </w:pPr>
      <w:rPr>
        <w:rFonts w:hint="default"/>
        <w:lang w:val="es-ES" w:eastAsia="es-ES" w:bidi="es-ES"/>
      </w:rPr>
    </w:lvl>
    <w:lvl w:ilvl="8">
      <w:start w:val="0"/>
      <w:numFmt w:val="bullet"/>
      <w:lvlText w:val="•"/>
      <w:lvlJc w:val="left"/>
      <w:pPr>
        <w:ind w:left="7764" w:hanging="291"/>
      </w:pPr>
      <w:rPr>
        <w:rFonts w:hint="default"/>
        <w:lang w:val="es-ES" w:eastAsia="es-ES" w:bidi="es-ES"/>
      </w:rPr>
    </w:lvl>
  </w:abstractNum>
  <w:abstractNum w:abstractNumId="0">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432"/>
      </w:pPr>
      <w:rPr>
        <w:rFonts w:hint="default"/>
        <w:lang w:val="es-ES" w:eastAsia="es-ES" w:bidi="es-ES"/>
      </w:rPr>
    </w:lvl>
    <w:lvl w:ilvl="2">
      <w:start w:val="0"/>
      <w:numFmt w:val="bullet"/>
      <w:lvlText w:val="•"/>
      <w:lvlJc w:val="left"/>
      <w:pPr>
        <w:ind w:left="2600" w:hanging="432"/>
      </w:pPr>
      <w:rPr>
        <w:rFonts w:hint="default"/>
        <w:lang w:val="es-ES" w:eastAsia="es-ES" w:bidi="es-ES"/>
      </w:rPr>
    </w:lvl>
    <w:lvl w:ilvl="3">
      <w:start w:val="0"/>
      <w:numFmt w:val="bullet"/>
      <w:lvlText w:val="•"/>
      <w:lvlJc w:val="left"/>
      <w:pPr>
        <w:ind w:left="3480" w:hanging="432"/>
      </w:pPr>
      <w:rPr>
        <w:rFonts w:hint="default"/>
        <w:lang w:val="es-ES" w:eastAsia="es-ES" w:bidi="es-ES"/>
      </w:rPr>
    </w:lvl>
    <w:lvl w:ilvl="4">
      <w:start w:val="0"/>
      <w:numFmt w:val="bullet"/>
      <w:lvlText w:val="•"/>
      <w:lvlJc w:val="left"/>
      <w:pPr>
        <w:ind w:left="4360" w:hanging="432"/>
      </w:pPr>
      <w:rPr>
        <w:rFonts w:hint="default"/>
        <w:lang w:val="es-ES" w:eastAsia="es-ES" w:bidi="es-ES"/>
      </w:rPr>
    </w:lvl>
    <w:lvl w:ilvl="5">
      <w:start w:val="0"/>
      <w:numFmt w:val="bullet"/>
      <w:lvlText w:val="•"/>
      <w:lvlJc w:val="left"/>
      <w:pPr>
        <w:ind w:left="5240" w:hanging="432"/>
      </w:pPr>
      <w:rPr>
        <w:rFonts w:hint="default"/>
        <w:lang w:val="es-ES" w:eastAsia="es-ES" w:bidi="es-ES"/>
      </w:rPr>
    </w:lvl>
    <w:lvl w:ilvl="6">
      <w:start w:val="0"/>
      <w:numFmt w:val="bullet"/>
      <w:lvlText w:val="•"/>
      <w:lvlJc w:val="left"/>
      <w:pPr>
        <w:ind w:left="6120" w:hanging="432"/>
      </w:pPr>
      <w:rPr>
        <w:rFonts w:hint="default"/>
        <w:lang w:val="es-ES" w:eastAsia="es-ES" w:bidi="es-ES"/>
      </w:rPr>
    </w:lvl>
    <w:lvl w:ilvl="7">
      <w:start w:val="0"/>
      <w:numFmt w:val="bullet"/>
      <w:lvlText w:val="•"/>
      <w:lvlJc w:val="left"/>
      <w:pPr>
        <w:ind w:left="7000" w:hanging="432"/>
      </w:pPr>
      <w:rPr>
        <w:rFonts w:hint="default"/>
        <w:lang w:val="es-ES" w:eastAsia="es-ES" w:bidi="es-ES"/>
      </w:rPr>
    </w:lvl>
    <w:lvl w:ilvl="8">
      <w:start w:val="0"/>
      <w:numFmt w:val="bullet"/>
      <w:lvlText w:val="•"/>
      <w:lvlJc w:val="left"/>
      <w:pPr>
        <w:ind w:left="7880" w:hanging="432"/>
      </w:pPr>
      <w:rPr>
        <w:rFonts w:hint="default"/>
        <w:lang w:val="es-ES" w:eastAsia="es-ES" w:bidi="es-ES"/>
      </w:rPr>
    </w:lvl>
  </w:abstractNum>
  <w:num w:numId="27">
    <w:abstractNumId w:val="26"/>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605" w:right="605"/>
      <w:jc w:val="center"/>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406"/>
      <w:outlineLvl w:val="2"/>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838"/>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de Amparo, Reglamentaria de los artículos 103 y 107 de la Constitución Política de los Estados Unidos Mexicanos</dc:title>
  <dcterms:created xsi:type="dcterms:W3CDTF">2020-02-19T18:46:05Z</dcterms:created>
  <dcterms:modified xsi:type="dcterms:W3CDTF">2020-02-19T18:46:05Z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Office Word 2007</vt:lpwstr>
  </property>
  <property fmtid="{D5CDD505-2E9C-101B-9397-08002B2CF9AE}" pid="4" name="LastSaved">
    <vt:filetime>2020-02-19T00:00:00Z</vt:filetime>
  </property>
</Properties>
</file>