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D1" w:rsidRPr="008F5C13" w:rsidRDefault="001133F6" w:rsidP="001133F6">
      <w:pPr>
        <w:pStyle w:val="Estilo"/>
        <w:jc w:val="right"/>
        <w:rPr>
          <w:rFonts w:cs="Arial"/>
          <w:sz w:val="14"/>
        </w:rPr>
      </w:pPr>
      <w:bookmarkStart w:id="0" w:name="_GoBack"/>
      <w:bookmarkEnd w:id="0"/>
      <w:r w:rsidRPr="008F5C13">
        <w:rPr>
          <w:rFonts w:cs="Arial"/>
          <w:sz w:val="14"/>
        </w:rPr>
        <w:t xml:space="preserve">Última reforma publicada en el POGE el </w:t>
      </w:r>
      <w:r w:rsidR="00777019">
        <w:rPr>
          <w:rFonts w:cs="Arial"/>
          <w:sz w:val="14"/>
        </w:rPr>
        <w:t>21 de marzo de 2019</w:t>
      </w:r>
      <w:r w:rsidRPr="008F5C13">
        <w:rPr>
          <w:rFonts w:cs="Arial"/>
          <w:sz w:val="14"/>
        </w:rPr>
        <w:t>.</w:t>
      </w:r>
    </w:p>
    <w:p w:rsidR="00F023D1" w:rsidRDefault="00F023D1">
      <w:pPr>
        <w:pStyle w:val="Estilo"/>
        <w:rPr>
          <w:rFonts w:cs="Arial"/>
          <w:sz w:val="22"/>
        </w:rPr>
      </w:pPr>
    </w:p>
    <w:p w:rsidR="00BB521F" w:rsidRPr="001133F6" w:rsidRDefault="00BB521F">
      <w:pPr>
        <w:pStyle w:val="Estilo"/>
        <w:rPr>
          <w:rFonts w:cs="Arial"/>
          <w:sz w:val="22"/>
        </w:rPr>
      </w:pPr>
    </w:p>
    <w:p w:rsidR="00F023D1" w:rsidRPr="008F5C13" w:rsidRDefault="00A22FF1" w:rsidP="001133F6">
      <w:pPr>
        <w:pStyle w:val="Estilo"/>
        <w:jc w:val="center"/>
        <w:rPr>
          <w:rFonts w:cs="Arial"/>
          <w:b/>
          <w:sz w:val="22"/>
        </w:rPr>
      </w:pPr>
      <w:r w:rsidRPr="008F5C13">
        <w:rPr>
          <w:rFonts w:cs="Arial"/>
          <w:b/>
          <w:sz w:val="22"/>
        </w:rPr>
        <w:t>LEY DE RESPONSABILIDADES ADMINISTRATIVAS DEL ESTADO Y MUNICIPIOS DE OAXACA</w:t>
      </w:r>
    </w:p>
    <w:p w:rsidR="001133F6" w:rsidRPr="008F5C13" w:rsidRDefault="001133F6" w:rsidP="008F5C13">
      <w:pPr>
        <w:pStyle w:val="Estilo"/>
        <w:jc w:val="center"/>
        <w:rPr>
          <w:rFonts w:cs="Arial"/>
          <w:sz w:val="14"/>
        </w:rPr>
      </w:pPr>
      <w:r w:rsidRPr="008F5C13">
        <w:rPr>
          <w:rFonts w:cs="Arial"/>
          <w:sz w:val="14"/>
        </w:rPr>
        <w:t>Publicada en el Extra del Periódico Oficial del Estado de Oaxaca, el 3 de octubre de 2017.</w:t>
      </w:r>
    </w:p>
    <w:p w:rsidR="00F023D1" w:rsidRDefault="00F023D1">
      <w:pPr>
        <w:pStyle w:val="Estilo"/>
        <w:rPr>
          <w:rFonts w:cs="Arial"/>
          <w:sz w:val="22"/>
        </w:rPr>
      </w:pPr>
    </w:p>
    <w:p w:rsidR="00BB521F" w:rsidRPr="001133F6" w:rsidRDefault="00BB521F">
      <w:pPr>
        <w:pStyle w:val="Estilo"/>
        <w:rPr>
          <w:rFonts w:cs="Arial"/>
          <w:sz w:val="22"/>
        </w:rPr>
      </w:pPr>
    </w:p>
    <w:p w:rsidR="00F023D1" w:rsidRPr="008F5C13" w:rsidRDefault="00A22FF1" w:rsidP="008F5C13">
      <w:pPr>
        <w:pStyle w:val="Estilo"/>
        <w:jc w:val="center"/>
        <w:rPr>
          <w:rFonts w:cs="Arial"/>
          <w:b/>
          <w:sz w:val="22"/>
        </w:rPr>
      </w:pPr>
      <w:r w:rsidRPr="008F5C13">
        <w:rPr>
          <w:rFonts w:cs="Arial"/>
          <w:b/>
          <w:sz w:val="22"/>
        </w:rPr>
        <w:t>LIBRO PRIMERO</w:t>
      </w:r>
    </w:p>
    <w:p w:rsidR="00F023D1" w:rsidRPr="008F5C13" w:rsidRDefault="00A22FF1" w:rsidP="008F5C13">
      <w:pPr>
        <w:pStyle w:val="Estilo"/>
        <w:jc w:val="center"/>
        <w:rPr>
          <w:rFonts w:cs="Arial"/>
          <w:b/>
          <w:sz w:val="22"/>
        </w:rPr>
      </w:pPr>
      <w:r w:rsidRPr="008F5C13">
        <w:rPr>
          <w:rFonts w:cs="Arial"/>
          <w:b/>
          <w:sz w:val="22"/>
        </w:rPr>
        <w:t>DISPOSICIONES SUSTANTIVAS</w:t>
      </w:r>
    </w:p>
    <w:p w:rsidR="00F023D1" w:rsidRPr="008F5C13" w:rsidRDefault="00F023D1" w:rsidP="008F5C13">
      <w:pPr>
        <w:pStyle w:val="Estilo"/>
        <w:jc w:val="center"/>
        <w:rPr>
          <w:rFonts w:cs="Arial"/>
          <w:b/>
          <w:sz w:val="22"/>
        </w:rPr>
      </w:pPr>
    </w:p>
    <w:p w:rsidR="00F023D1" w:rsidRPr="008F5C13" w:rsidRDefault="00A22FF1" w:rsidP="008F5C13">
      <w:pPr>
        <w:pStyle w:val="Estilo"/>
        <w:jc w:val="center"/>
        <w:rPr>
          <w:rFonts w:cs="Arial"/>
          <w:b/>
          <w:sz w:val="22"/>
        </w:rPr>
      </w:pPr>
      <w:r w:rsidRPr="008F5C13">
        <w:rPr>
          <w:rFonts w:cs="Arial"/>
          <w:b/>
          <w:sz w:val="22"/>
        </w:rPr>
        <w:t>TÍTULO PRIMERO</w:t>
      </w:r>
    </w:p>
    <w:p w:rsidR="00F023D1" w:rsidRPr="008F5C13" w:rsidRDefault="00F023D1" w:rsidP="008F5C13">
      <w:pPr>
        <w:pStyle w:val="Estilo"/>
        <w:jc w:val="center"/>
        <w:rPr>
          <w:rFonts w:cs="Arial"/>
          <w:b/>
          <w:sz w:val="22"/>
        </w:rPr>
      </w:pPr>
    </w:p>
    <w:p w:rsidR="00F023D1" w:rsidRPr="008F5C13" w:rsidRDefault="00A22FF1" w:rsidP="008F5C13">
      <w:pPr>
        <w:pStyle w:val="Estilo"/>
        <w:jc w:val="center"/>
        <w:rPr>
          <w:rFonts w:cs="Arial"/>
          <w:b/>
          <w:sz w:val="22"/>
        </w:rPr>
      </w:pPr>
      <w:r w:rsidRPr="008F5C13">
        <w:rPr>
          <w:rFonts w:cs="Arial"/>
          <w:b/>
          <w:sz w:val="22"/>
        </w:rPr>
        <w:t>Capítulo I</w:t>
      </w:r>
    </w:p>
    <w:p w:rsidR="00F023D1" w:rsidRPr="008F5C13" w:rsidRDefault="00A22FF1" w:rsidP="008F5C13">
      <w:pPr>
        <w:pStyle w:val="Estilo"/>
        <w:jc w:val="center"/>
        <w:rPr>
          <w:rFonts w:cs="Arial"/>
          <w:b/>
          <w:sz w:val="22"/>
        </w:rPr>
      </w:pPr>
      <w:r w:rsidRPr="008F5C13">
        <w:rPr>
          <w:rFonts w:cs="Arial"/>
          <w:b/>
          <w:sz w:val="22"/>
        </w:rPr>
        <w:t>Objeto, ámbito de aplicación y sujetos de la Ley</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1.</w:t>
      </w:r>
      <w:r w:rsidRPr="001133F6">
        <w:rPr>
          <w:rFonts w:cs="Arial"/>
          <w:sz w:val="22"/>
        </w:rPr>
        <w:t xml:space="preserve"> La presente Ley es de orden público y de observancia obligatoria en el Estado de Oaxaca, y tiene por objeto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2.</w:t>
      </w:r>
      <w:r w:rsidRPr="001133F6">
        <w:rPr>
          <w:rFonts w:cs="Arial"/>
          <w:sz w:val="22"/>
        </w:rPr>
        <w:t xml:space="preserve"> Son objeto de la presente Ley: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 Establecer los principios y obligaciones que rigen la actuación de los Servidores Públicos;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 Establecer las faltas administrativas graves y no graves de los Servidores Públicos, las sanciones aplicables a las mismas, así como los procedimientos para su aplicación y las facultades de las autoridades competentes para tal efecto;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III. Establecer las sanciones por la comisión de faltas de particulares, así como los procedimientos para su aplicación y las facultades de las autoridades competentes para tal efecto;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IV. Determinar los mecanismos para la prevención, corrección e investigación de responsabilidades administrativas, 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V. Crear las bases para que todo Ente público establezca políticas eficaces de ética pública y responsabilidad en el servicio público.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Todo lo no previsto en la presente Ley, se sujetará a lo establecido en la Ley General de Responsabilidades Administrativas.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3.</w:t>
      </w:r>
      <w:r w:rsidRPr="001133F6">
        <w:rPr>
          <w:rFonts w:cs="Arial"/>
          <w:sz w:val="22"/>
        </w:rPr>
        <w:t xml:space="preserve"> Para efectos de esta Ley se entenderá por:</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 Auditoría Superior: Órgano Superior de Fiscalización del Estado de Oaxaca al que se refiere el artículo 65 BIS de la Constitución Política del Estado de Oaxaca;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 Autoridad investigadora: La autoridad en la Secretaría, los Órganos internos de control, la Auditoría Superior, encargadas de la investigación de las faltas administrativas;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lastRenderedPageBreak/>
        <w:t>III. Autoridad substanciadora: La autoridad en la Secretaría, los Órganos internos de control y la Auditoría Superior, que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IV. Autoridad resolutora: Tratándose de faltas administrativas no graves lo será la unidad de responsabilidades administrativas o el servidor público asignado en los Órganos internos de control. Para las Faltas administrativas graves, así como para las faltas de particulares, lo será el Tribunal;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V. Comité Coordinador: Instancia a la que hace referencia la fracción I del artículo 120 de la Constitución local, encargada de la coordinación y eficacia del Sistema Estatal de Combate a la Corrupción;</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VI. Conflicto de Interés: La posible afectación del desempeño imparcial y objetivo de las funciones de los Servidores Públicos en razón de intereses personales, familiares o de negocios;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VII. Constitución Federal: La Constitución Política de los Estados Unidos Mexicanos;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VIII. Constitución Local: Constitución Política del Estado Libre y Soberano de Oaxaca;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IX. Declarante: El Servidor Público obligado a presentar declaración de situación patrimonial, de intereses y fiscal, en los términos de la Ley General, la presente Ley y demás ordenamientos legales aplicables;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 Denunciante: La persona física, jurídica, o el Servidor Público que acude ante las Autoridades investigadoras, con el fin de denunciar actos u omisiones que pudieran constituir o vincularse con Faltas administrativas;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XI. Ente público: Los Poderes Legislativo y Judicial, los órganos constitucionales autónomos, las dependencias y entidades de la Administración Pública Estatal, los municipios, sus dependencias y entidades, la Fiscalía General del Estado de Oaxaca, los órganos jurisdiccionales que no formen parte del poder judicial, así como cualquier otro ente sobre el que tenga control cualquiera de los poderes y órganos públicos citados;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XII. Entidades: Las Entidades Paraestatales o Paramunicipales a las que la Ley les otorgue tal carácter;</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XIII. Expediente de presunta responsabilidad administrativa: El expediente derivado de la investigación que las Autoridades Investigadoras realizan en sede administrativa, al tener conocimiento de un acto u omisión posiblemente constitutivo de Faltas administrativas;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XIV. Faltas administrativas: Las Faltas administrativas graves, y no graves; así como las Faltas de particulares, conforme a lo dispuesto en esta Ley;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lastRenderedPageBreak/>
        <w:t>XV. Falta administrativa no grave: Las faltas administrativas de los Servidores Públicos en los términos de la Ley General y la presente Ley, cuya sanción corresponde imponer a la Secretaría y a los Órganos internos de control;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XVI. Falta administrativa grave: Las faltas administrativas de los Servidores Públicos catalogadas como graves en los términos de la Ley General y la presente Ley, cuya sanción corresponde imponer al Tribunal;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XVII. Faltas de particulares: Los actos de personas físicas o jurídicas privadas que estén vinculados con faltas administrativas graves a que se refiere la Ley General y la presente Ley, cuya sanción corresponde imponer al Tribunal;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XVIII. Informe de Presunta Responsabilidad Administrativa: 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XIX. Ley Estatal: Ley de Responsabilidades Administrativas del Estado y Municipios de Oaxaca;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XX. Ley General: Ley General de Responsabilidades Administrativas.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XXI. Magistrado: El Magistrado del Tribunal de lo Contencioso Administrativo y de Cuentas;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XXII. Órganos constitucionales autónomos: Organismos a los que la Constitución Local les otorga expresamente autonomía técnica y de gestión, personalidad jurídica y patrimonio propio;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XXIII. Órganos internos de control: 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XXIV. Plataforma digital nacional: La plataforma a que se refiere la Ley General del Sistema Nacional Anticorrupción, que contará con los sistemas que establece la referida ley, así como los contenidos previstos en la Ley General y en la presente Ley;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XXV. Plataforma digital estatal: La Plataforma a que se refiere la Ley del Sistema Estatal de Combate a la Corrupción del Estado de Oaxaca.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XXVI. Secretaría: La Secretaría de la Contraloría y Transparencia Gubernamental del Estado de Oaxaca;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XXVII. Servidores Públicos: Las personas que desempeñan un empleo, cargo o comisión en los entes públicos, en el ámbito estatal y municipal, conforme a lo dispuesto en el artículo 115 de la Constitución local;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lastRenderedPageBreak/>
        <w:t>XXVIII. Sistema Nacional: El Sistema Nacional Anticorrupción, que es la instancia de coordinación entre las autoridades de todos los órdenes de gobierno competentes en la prevención, detección y sanción de responsabilidades administrativas y hechos de corrupción, así como en la fiscalización y control de recursos públicos;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XXIX. Sistema Estatal: El Sistema Estatal de combate a la Corrupción que es la instancia de coordinación entre las autoridades locales competentes en la prevención, detección y sanción de las responsabilidades administrativas y hechos de corrupción, así como en la fiscalización y control de recursos públicos estatales y municipales; 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XXX. Tribunal: El Tribunal de lo Contencioso Administrativo y de Cuentas.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4.</w:t>
      </w:r>
      <w:r w:rsidRPr="001133F6">
        <w:rPr>
          <w:rFonts w:cs="Arial"/>
          <w:sz w:val="22"/>
        </w:rPr>
        <w:t xml:space="preserve"> Son sujetos de esta Ley: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 Los Servidores Públicos del Estado y Municipios de Oaxaca;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 Aquellas personas que habiendo fungido como Servidores Públicos se ubiquen en los supuestos a que se refiere la presente Ley; 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III. Los particulares vinculados con faltas administrativas graves.</w:t>
      </w:r>
    </w:p>
    <w:p w:rsidR="00F023D1" w:rsidRDefault="00F023D1">
      <w:pPr>
        <w:pStyle w:val="Estilo"/>
        <w:rPr>
          <w:rFonts w:cs="Arial"/>
          <w:sz w:val="22"/>
        </w:rPr>
      </w:pPr>
    </w:p>
    <w:p w:rsidR="00BB521F" w:rsidRPr="001133F6"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Capítulo II</w:t>
      </w:r>
    </w:p>
    <w:p w:rsidR="00F023D1" w:rsidRPr="008F5C13" w:rsidRDefault="00A22FF1" w:rsidP="00501E5B">
      <w:pPr>
        <w:pStyle w:val="Estilo"/>
        <w:jc w:val="center"/>
        <w:rPr>
          <w:rFonts w:cs="Arial"/>
          <w:b/>
          <w:sz w:val="22"/>
        </w:rPr>
      </w:pPr>
      <w:r w:rsidRPr="008F5C13">
        <w:rPr>
          <w:rFonts w:cs="Arial"/>
          <w:b/>
          <w:sz w:val="22"/>
        </w:rPr>
        <w:t>Principios y directrices que rigen la actuación de los Servidores Públicos</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5.</w:t>
      </w:r>
      <w:r w:rsidRPr="001133F6">
        <w:rPr>
          <w:rFonts w:cs="Arial"/>
          <w:sz w:val="22"/>
        </w:rPr>
        <w:t xml:space="preserve"> Todos los entes públicos están obligados a crear y mantener condiciones estructurales y normativas que permitan el adecuado funcionamiento del Estado en su conjunto, y la actuación ética y responsable de cada servidor público.</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6.</w:t>
      </w:r>
      <w:r w:rsidRPr="001133F6">
        <w:rPr>
          <w:rFonts w:cs="Arial"/>
          <w:sz w:val="22"/>
        </w:rPr>
        <w:t xml:space="preserve"> 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directrices previstas en el artículo 7 de la Ley General.</w:t>
      </w:r>
    </w:p>
    <w:p w:rsidR="00F023D1" w:rsidRDefault="00F023D1">
      <w:pPr>
        <w:pStyle w:val="Estilo"/>
        <w:rPr>
          <w:rFonts w:cs="Arial"/>
          <w:sz w:val="22"/>
        </w:rPr>
      </w:pPr>
    </w:p>
    <w:p w:rsidR="00BB521F" w:rsidRPr="001133F6"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Capítulo III</w:t>
      </w:r>
    </w:p>
    <w:p w:rsidR="00F023D1" w:rsidRPr="008F5C13" w:rsidRDefault="00A22FF1" w:rsidP="00501E5B">
      <w:pPr>
        <w:pStyle w:val="Estilo"/>
        <w:jc w:val="center"/>
        <w:rPr>
          <w:rFonts w:cs="Arial"/>
          <w:b/>
          <w:sz w:val="22"/>
        </w:rPr>
      </w:pPr>
      <w:r w:rsidRPr="008F5C13">
        <w:rPr>
          <w:rFonts w:cs="Arial"/>
          <w:b/>
          <w:sz w:val="22"/>
        </w:rPr>
        <w:t>Autoridades competentes para aplicar la presente Ley</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7.</w:t>
      </w:r>
      <w:r w:rsidRPr="001133F6">
        <w:rPr>
          <w:rFonts w:cs="Arial"/>
          <w:sz w:val="22"/>
        </w:rPr>
        <w:t xml:space="preserve"> Las autoridades del Estado y Municipios de Oaxaca concurrirán con las de la Federación para el cumplimiento de la Ley General y de la presente Ley, de conformidad con las bases y principios que establezcan los Sistemas Anticorrupción respectivos.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8.</w:t>
      </w:r>
      <w:r w:rsidRPr="001133F6">
        <w:rPr>
          <w:rFonts w:cs="Arial"/>
          <w:sz w:val="22"/>
        </w:rPr>
        <w:t xml:space="preserve"> En el ámbito de su competencia, serán autoridades facultadas para aplicar la presente Ley: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 La Secretaría;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 Los Órganos internos de control;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III. La Auditoría Superior;</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IV. El Tribunal; 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V. Tratándose de las responsabilidades administrativas de los Servidores Públicos del poder judicial, será competente para investigar e imponer las sanciones que correspondan, el Consejo de la Judicatura del Poder Judicial del Estado, conforme al régimen establecido en los artículos 100 y 115 de la Constitución Local, su Ley Orgánica y demás reglamentación interna, sin perjuicio de las atribuciones de la Auditoría Superior en materia de fiscalización sobre el manejo, la custodia y aplicación de recursos públicos.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Para los efectos del artículo 8 de esta Ley, las autoridades que en el mismo se mencionan estarán facultadas para que en el ámbito de su competencia emitan la normatividad que resulte necesaria para dar cumplimiento a lo dispuesto por la Ley General, la presente Ley y demás disposiciones aplicables.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9.</w:t>
      </w:r>
      <w:r w:rsidRPr="001133F6">
        <w:rPr>
          <w:rFonts w:cs="Arial"/>
          <w:sz w:val="22"/>
        </w:rPr>
        <w:t xml:space="preserve"> Las autoridades a que se refiere el artículo anterior, tendrán a su cargo, en el ámbito de su competencia, la investigación, substanciación y calificación de las Faltas administrativas.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Tratándose de actos u omisiones que hayan sido calificados como Faltas administrativas no graves, la Secretaría y los Órganos internos de control serán competentes para iniciar, substanciar y resolver, en el ámbito de su competencia, los procedimientos de responsabilidad administrativa en los términos previstos en la Ley General y la presente Ley.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la Ley General, la presente Ley y demás disposiciones aplicables.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Además de las atribuciones señaladas con anterioridad, los Órganos internos de control serán competentes para: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 Implementar los mecanismos internos que prevengan actos u omisiones que pudieran constituir responsabilidades administrativas, en los términos establecidos por los Sistemas Estatal y Nacional Anticorrupción;</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 Revisar el ingreso, egreso, manejo, custodia y aplicación de recursos públicos federales, estatales y municipales, según corresponda en el ámbito de su competencia; 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III. Presentar denuncias por hechos que las leyes señalen como delitos ante la Fiscalía Especializada en materia de Combate a la Corrupción a que se refiere la Ley General, así como a las demás instancias estatales y federales competentes.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10.</w:t>
      </w:r>
      <w:r w:rsidRPr="001133F6">
        <w:rPr>
          <w:rFonts w:cs="Arial"/>
          <w:sz w:val="22"/>
        </w:rPr>
        <w:t xml:space="preserve"> La Auditoría Superior será competente para investigar y substanciar el procedimiento por las faltas administrativas graves.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En caso de que la Auditoría Superior detecte posibles faltas administrativas no graves dará cuenta de ello a los Órganos internos de control, según corresponda, para que continúe la investigación respectiva y promueva las acciones que procedan.</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En los casos en que, derivado de sus investigaciones, aparezca la presunta comisión de delitos, presentará las denuncias correspondientes ante la Fiscalía Especializada competente.</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11.</w:t>
      </w:r>
      <w:r w:rsidRPr="001133F6">
        <w:rPr>
          <w:rFonts w:cs="Arial"/>
          <w:sz w:val="22"/>
        </w:rPr>
        <w:t xml:space="preserve"> El Tribunal, además de las facultades y atribuciones conferidas en su legislación orgánica y demás normatividad aplicable, estará facultado para resolver la imposición de sanciones por la comisión de Faltas administrativas graves y de Faltas de particulares, conforme a los procedimientos previstos en la Ley General, la presente Ley y demás disposiciones aplicables.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12.</w:t>
      </w:r>
      <w:r w:rsidRPr="001133F6">
        <w:rPr>
          <w:rFonts w:cs="Arial"/>
          <w:sz w:val="22"/>
        </w:rPr>
        <w:t xml:space="preserve"> Cuando las Autoridades investigadoras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la Ley General, la presente Ley y demás disposiciones aplicables, a fin de que sea el Tribunal el que imponga la sanción que corresponda a dicha falta. Si el Tribunal determina que se cometieron tanto faltas administrativas graves, como faltas administrativas no graves, al graduar la sanción que proceda tomará en cuenta la comisión de éstas últimas.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13.</w:t>
      </w:r>
      <w:r w:rsidRPr="001133F6">
        <w:rPr>
          <w:rFonts w:cs="Arial"/>
          <w:sz w:val="22"/>
        </w:rPr>
        <w:t xml:space="preserve"> Cuando los actos u omisiones de los Servidores Públicos materia de denuncias, queden comprendidos en más de uno de los casos sujetos a sanción y previstos en el artículo 109 de la Constitución Federal y 116 de la Constitución Local, los procedimientos respectivos se desarrollarán en forma autónoma según su naturaleza y por la vía procesal que corresponda, debiendo las autoridades a que alude el artículo 9 de la Ley General y el artículo 8 de esta Ley turnar las denuncias a quien deba conocer de ellas. No podrán imponerse dos veces por una sola conducta sanciones de la misma naturaleza.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La atribución del Tribunal para imponer sanciones a particulares en términos de la Ley General, la presente Ley y demás disposiciones aplicables, no limita las facultades de otras autoridades para imponer sanciones administrativas a particulares.</w:t>
      </w:r>
    </w:p>
    <w:p w:rsidR="00F023D1" w:rsidRDefault="00F023D1">
      <w:pPr>
        <w:pStyle w:val="Estilo"/>
        <w:rPr>
          <w:rFonts w:cs="Arial"/>
          <w:sz w:val="22"/>
        </w:rPr>
      </w:pPr>
    </w:p>
    <w:p w:rsidR="00BB521F" w:rsidRPr="001133F6"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TÍTULO SEGUNDO</w:t>
      </w:r>
    </w:p>
    <w:p w:rsidR="00F023D1" w:rsidRPr="008F5C13" w:rsidRDefault="00A22FF1" w:rsidP="00501E5B">
      <w:pPr>
        <w:pStyle w:val="Estilo"/>
        <w:jc w:val="center"/>
        <w:rPr>
          <w:rFonts w:cs="Arial"/>
          <w:b/>
          <w:sz w:val="22"/>
        </w:rPr>
      </w:pPr>
      <w:r w:rsidRPr="008F5C13">
        <w:rPr>
          <w:rFonts w:cs="Arial"/>
          <w:b/>
          <w:sz w:val="22"/>
        </w:rPr>
        <w:t>MECANISMOS DE PREVENCIÓN E INSTRUMENTOS DE RENDICIÓN DE CUENTAS</w:t>
      </w:r>
    </w:p>
    <w:p w:rsidR="00F023D1" w:rsidRPr="008F5C13" w:rsidRDefault="00F023D1" w:rsidP="00501E5B">
      <w:pPr>
        <w:pStyle w:val="Estilo"/>
        <w:jc w:val="center"/>
        <w:rPr>
          <w:rFonts w:cs="Arial"/>
          <w:b/>
          <w:sz w:val="22"/>
        </w:rPr>
      </w:pPr>
    </w:p>
    <w:p w:rsidR="00F023D1" w:rsidRPr="008F5C13" w:rsidRDefault="00A22FF1" w:rsidP="00501E5B">
      <w:pPr>
        <w:pStyle w:val="Estilo"/>
        <w:jc w:val="center"/>
        <w:rPr>
          <w:rFonts w:cs="Arial"/>
          <w:b/>
          <w:sz w:val="22"/>
        </w:rPr>
      </w:pPr>
      <w:r w:rsidRPr="008F5C13">
        <w:rPr>
          <w:rFonts w:cs="Arial"/>
          <w:b/>
          <w:sz w:val="22"/>
        </w:rPr>
        <w:t>Capítulo I</w:t>
      </w:r>
    </w:p>
    <w:p w:rsidR="00F023D1" w:rsidRPr="008F5C13" w:rsidRDefault="00A22FF1" w:rsidP="00501E5B">
      <w:pPr>
        <w:pStyle w:val="Estilo"/>
        <w:jc w:val="center"/>
        <w:rPr>
          <w:rFonts w:cs="Arial"/>
          <w:b/>
          <w:sz w:val="22"/>
        </w:rPr>
      </w:pPr>
      <w:r w:rsidRPr="008F5C13">
        <w:rPr>
          <w:rFonts w:cs="Arial"/>
          <w:b/>
          <w:sz w:val="22"/>
        </w:rPr>
        <w:t>Mecanismos Generales de Prevención</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14.</w:t>
      </w:r>
      <w:r w:rsidRPr="001133F6">
        <w:rPr>
          <w:rFonts w:cs="Arial"/>
          <w:sz w:val="22"/>
        </w:rPr>
        <w:t xml:space="preserve"> Para prevenir la comisión de faltas administrativas y hechos de corrupción, la Secretaría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los Sistemas Estatal y Nacional Anticorrupción.</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En la implementación de las acciones referidas, los Órganos internos de control de la Administración Pública Estatal deberán atender los lineamientos generales que emita la Secretaría, en sus respectivos ámbitos de competencia. En los Poderes Legislativo y Judicial, los Municipios, en los Organismos constitucionales autónomos y en los demás entes públicos, los Órganos internos de control respectivos, emitirán los lineamientos señalados.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15.</w:t>
      </w:r>
      <w:r w:rsidRPr="001133F6">
        <w:rPr>
          <w:rFonts w:cs="Arial"/>
          <w:sz w:val="22"/>
        </w:rPr>
        <w:t xml:space="preserve"> Los Servidores Públicos deberán observar el código de ética que al efecto sea emitido por la Secretaría o los Órganos internos de control, conforme a los lineamientos que emita el Sistema Nacional Anticorrupción, para que en su actuación impere una conducta digna que responda a las necesidades de la sociedad y que oriente su desempeño.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El código de ética a que se refiere el párrafo anterior, deberá hacerse del conocimiento de los Servidores Públicos de la dependencia o entidad de que se trate, así como darle la máxima publicidad.</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 xml:space="preserve">Artículo 16. </w:t>
      </w:r>
      <w:r w:rsidRPr="001133F6">
        <w:rPr>
          <w:rFonts w:cs="Arial"/>
          <w:sz w:val="22"/>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17.</w:t>
      </w:r>
      <w:r w:rsidRPr="001133F6">
        <w:rPr>
          <w:rFonts w:cs="Arial"/>
          <w:sz w:val="22"/>
        </w:rPr>
        <w:t xml:space="preserve"> Los Órganos internos de control deberán valorar las recomendaciones que hagan los Comités Coordinadores de los Sistemas Estatal y Nacional Anticorrupción a las autoridades, con el objeto de adoptar las medidas necesarias para el fortalecimiento institucional en su desempeño y control interno y con ello la prevención de Faltas administrativas y hechos de corrupción. Deberán informar a dichos órganos de la atención que se dé a éstas y, en su caso, sus avances y resultados.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18.</w:t>
      </w:r>
      <w:r w:rsidRPr="001133F6">
        <w:rPr>
          <w:rFonts w:cs="Arial"/>
          <w:sz w:val="22"/>
        </w:rPr>
        <w:t xml:space="preserve"> Los entes públicos deberán implementar los mecanismos de coordinación que, en términos de la Ley General y Estatal Anticorrupción, determinen los Comités Coordinadores de los Sistemas Estatal y Nacional Anticorrupción e informar a dichos órganos de los avances y resultados que estos tengan, a través de sus Órganos internos de control.</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19.</w:t>
      </w:r>
      <w:r w:rsidRPr="001133F6">
        <w:rPr>
          <w:rFonts w:cs="Arial"/>
          <w:sz w:val="22"/>
        </w:rPr>
        <w:t xml:space="preserve"> 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más adecuados y eficientes para su profesionalización, atrayendo a los mejores candidatos para ocupar los puestos a través de procedimientos transparentes, objetivos y equitativos.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Los titulares de los Órganos internos de control de los Órganos constitucionales autónomos, así como de las unidades especializadas que los conformen, serán nombrados en términos de sus respectivas leyes.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20.</w:t>
      </w:r>
      <w:r w:rsidRPr="001133F6">
        <w:rPr>
          <w:rFonts w:cs="Arial"/>
          <w:sz w:val="22"/>
        </w:rPr>
        <w:t xml:space="preserve"> Las (sic) Secretaría podrá suscribir convenios de colaboración con las personas físicas o morales que participen en contrataciones públicas, así como con las </w:t>
      </w:r>
      <w:r w:rsidRPr="001133F6">
        <w:rPr>
          <w:rFonts w:cs="Arial"/>
          <w:sz w:val="22"/>
        </w:rPr>
        <w:lastRenderedPageBreak/>
        <w:t>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21.</w:t>
      </w:r>
      <w:r w:rsidRPr="001133F6">
        <w:rPr>
          <w:rFonts w:cs="Arial"/>
          <w:sz w:val="22"/>
        </w:rPr>
        <w:t xml:space="preserve"> 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22.</w:t>
      </w:r>
      <w:r w:rsidRPr="001133F6">
        <w:rPr>
          <w:rFonts w:cs="Arial"/>
          <w:sz w:val="22"/>
        </w:rPr>
        <w:t xml:space="preserve"> El Comité Coordinador del Sistema Estatal de Combate a la Corrupción deberá establecer los mecanismos para promover y permitir la participación de la sociedad en la generación de políticas públicas dirigidas al combate a las distintas conductas que constituyen Faltas administrativas.</w:t>
      </w:r>
    </w:p>
    <w:p w:rsidR="00F023D1" w:rsidRDefault="00F023D1">
      <w:pPr>
        <w:pStyle w:val="Estilo"/>
        <w:rPr>
          <w:rFonts w:cs="Arial"/>
          <w:sz w:val="22"/>
        </w:rPr>
      </w:pPr>
    </w:p>
    <w:p w:rsidR="00BB521F" w:rsidRPr="001133F6"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Capítulo II</w:t>
      </w:r>
    </w:p>
    <w:p w:rsidR="00F023D1" w:rsidRPr="008F5C13" w:rsidRDefault="00A22FF1" w:rsidP="00501E5B">
      <w:pPr>
        <w:pStyle w:val="Estilo"/>
        <w:jc w:val="center"/>
        <w:rPr>
          <w:rFonts w:cs="Arial"/>
          <w:b/>
          <w:sz w:val="22"/>
        </w:rPr>
      </w:pPr>
      <w:r w:rsidRPr="008F5C13">
        <w:rPr>
          <w:rFonts w:cs="Arial"/>
          <w:b/>
          <w:sz w:val="22"/>
        </w:rPr>
        <w:t>De la integridad de las personas morales</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23.</w:t>
      </w:r>
      <w:r w:rsidRPr="001133F6">
        <w:rPr>
          <w:rFonts w:cs="Arial"/>
          <w:sz w:val="22"/>
        </w:rPr>
        <w:t xml:space="preserve"> 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24.</w:t>
      </w:r>
      <w:r w:rsidRPr="001133F6">
        <w:rPr>
          <w:rFonts w:cs="Arial"/>
          <w:sz w:val="22"/>
        </w:rPr>
        <w:t xml:space="preserve"> En la determinación de la responsabilidad de las personas morales a que se refiere la presente Ley, se valorará si cuentan con una política de integridad. Para los efectos de esta Ley, se considerará una política de integridad aquella que cuenta con, al menos, los siguientes elementos: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 Un manual de organización y procedimientos que sea claro y completo, en el que se delimiten las funciones y responsabilidades de cada una de sus áreas, y que especifique claramente las distintas cadenas de mando y de liderazgo en toda la estructura;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 Un código de conducta debidamente publicado y socializado entre todos los miembros de la organización, que cuente con sistemas y mecanismos de aplicación real;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III. Sistemas adecuados y eficaces de control, vigilancia y auditoría, que examinen de manera constante y periódica el cumplimiento de los estándares de integridad en toda la organización;</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IV. Sistemas adecuados de denuncia, tanto al interior de la organización como hacia las autoridades competentes, así como procesos disciplinarios y consecuencias concretas respecto de quienes actúan de forma contraria a las normas internas o a la legislación mexicana;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V. Sistemas y procesos adecuados de entrenamiento y capacitación respecto de las medidas de integridad que contiene este artículo;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VI. 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rsidR="00F023D1" w:rsidRPr="001133F6" w:rsidRDefault="00F023D1">
      <w:pPr>
        <w:pStyle w:val="Estilo"/>
        <w:rPr>
          <w:rFonts w:cs="Arial"/>
          <w:sz w:val="22"/>
        </w:rPr>
      </w:pPr>
    </w:p>
    <w:p w:rsidR="00F023D1" w:rsidRDefault="00A22FF1">
      <w:pPr>
        <w:pStyle w:val="Estilo"/>
        <w:rPr>
          <w:rFonts w:cs="Arial"/>
          <w:sz w:val="22"/>
        </w:rPr>
      </w:pPr>
      <w:r w:rsidRPr="001133F6">
        <w:rPr>
          <w:rFonts w:cs="Arial"/>
          <w:sz w:val="22"/>
        </w:rPr>
        <w:t>VII. Mecanismos que aseguren en todo momento la transparencia y publicidad de sus intereses.</w:t>
      </w:r>
    </w:p>
    <w:p w:rsidR="00BB521F" w:rsidRPr="001133F6"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Capítulo III</w:t>
      </w:r>
    </w:p>
    <w:p w:rsidR="00F023D1" w:rsidRPr="008F5C13" w:rsidRDefault="00A22FF1" w:rsidP="00501E5B">
      <w:pPr>
        <w:pStyle w:val="Estilo"/>
        <w:jc w:val="center"/>
        <w:rPr>
          <w:rFonts w:cs="Arial"/>
          <w:b/>
          <w:sz w:val="22"/>
        </w:rPr>
      </w:pPr>
      <w:r w:rsidRPr="008F5C13">
        <w:rPr>
          <w:rFonts w:cs="Arial"/>
          <w:b/>
          <w:sz w:val="22"/>
        </w:rPr>
        <w:t>De los instrumentos de rendición de cuentas</w:t>
      </w:r>
    </w:p>
    <w:p w:rsidR="00F023D1" w:rsidRPr="008F5C13" w:rsidRDefault="00F023D1" w:rsidP="00501E5B">
      <w:pPr>
        <w:pStyle w:val="Estilo"/>
        <w:jc w:val="center"/>
        <w:rPr>
          <w:rFonts w:cs="Arial"/>
          <w:b/>
          <w:sz w:val="22"/>
        </w:rPr>
      </w:pPr>
    </w:p>
    <w:p w:rsidR="00F023D1" w:rsidRPr="008F5C13" w:rsidRDefault="00A22FF1" w:rsidP="00501E5B">
      <w:pPr>
        <w:pStyle w:val="Estilo"/>
        <w:jc w:val="center"/>
        <w:rPr>
          <w:rFonts w:cs="Arial"/>
          <w:b/>
          <w:sz w:val="22"/>
        </w:rPr>
      </w:pPr>
      <w:r w:rsidRPr="008F5C13">
        <w:rPr>
          <w:rFonts w:cs="Arial"/>
          <w:b/>
          <w:sz w:val="22"/>
        </w:rPr>
        <w:t>Sección Primera</w:t>
      </w:r>
    </w:p>
    <w:p w:rsidR="00F023D1" w:rsidRPr="008F5C13" w:rsidRDefault="00A22FF1" w:rsidP="00501E5B">
      <w:pPr>
        <w:pStyle w:val="Estilo"/>
        <w:jc w:val="center"/>
        <w:rPr>
          <w:rFonts w:cs="Arial"/>
          <w:b/>
          <w:sz w:val="22"/>
        </w:rPr>
      </w:pPr>
      <w:r w:rsidRPr="008F5C13">
        <w:rPr>
          <w:rFonts w:cs="Arial"/>
          <w:b/>
          <w:sz w:val="22"/>
        </w:rPr>
        <w:t>Del sistema de evolución patrimonial, de declaración de intereses y constancia de presentación de declaración fiscal</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25.</w:t>
      </w:r>
      <w:r w:rsidRPr="001133F6">
        <w:rPr>
          <w:rFonts w:cs="Arial"/>
          <w:sz w:val="22"/>
        </w:rPr>
        <w:t xml:space="preserve"> Los Entes Públicos inscribirán en el Sistema Nacional de Servidores Públicos y Particulares Sancionados de la Plataforma Digital Nacional, en los términos de las disposiciones aplicables, y se harán públicas de conformidad con lo dispuesto en la Ley General del Sistema Nacional Anticorrupción y las disposiciones legales en materia de transparencia, las constancias de sanción o de inhabilitación que se encuentren firmes en contra de los servidores públicos o particulares que hayan sido sancionados por actos vinculados con faltas graves en los términos de la Ley General, esta Ley y demás disposiciones aplicables, así como las anotaciones de aquellas abstenciones que hayan realizado las Autoridades investigadoras o el Tribunal en los términos de los artículos 77 y 80, de la Ley General.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En el caso de las Dependencias y Entidades de la Administración Pública del Estado, dicha inscripción quedará a cargo de la Secretaría. En los Poderes Legislativo y Judicial, en los Municipios y en los organismos Constitucionales Autónomos, los Órganos Internos de Control respectivos, serán los encargados de realizarla.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Los Entes Públicos, previo al nombramiento, designación o contratación de quienes pretendan ingresar al servicio público, consultarán el Sistema Nacional de Servidores Públicos y Particulares Sancionados de la Plataforma Digital Nacional, con el fin de verificar si existen inhabilitaciones de dichas personas.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26.</w:t>
      </w:r>
      <w:r w:rsidRPr="001133F6">
        <w:rPr>
          <w:rFonts w:cs="Arial"/>
          <w:sz w:val="22"/>
        </w:rPr>
        <w:t xml:space="preserve"> La información relacionada con las declaraciones de situación patrimonial y de intereses, podrá ser solicitada y utilizada por el Ministerio Público, los Tribunales 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27.</w:t>
      </w:r>
      <w:r w:rsidRPr="001133F6">
        <w:rPr>
          <w:rFonts w:cs="Arial"/>
          <w:sz w:val="22"/>
        </w:rPr>
        <w:t xml:space="preserve"> Las declaraciones patrimoniales y de intereses serán públicas salvo los rubros cuya publicidad pueda afectar la vida privada o los datos personales protegidos por la </w:t>
      </w:r>
      <w:r w:rsidRPr="001133F6">
        <w:rPr>
          <w:rFonts w:cs="Arial"/>
          <w:sz w:val="22"/>
        </w:rPr>
        <w:lastRenderedPageBreak/>
        <w:t>Constitución. Para tal efecto, el Comité Coordinador, a propuesta del Comité de Participación Ciudadana, emitirá los formatos respectivos, garantizando que los rubros que pudieran afectar los derechos aludidos queden en resguardo de las autoridades competentes.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28.</w:t>
      </w:r>
      <w:r w:rsidRPr="001133F6">
        <w:rPr>
          <w:rFonts w:cs="Arial"/>
          <w:sz w:val="22"/>
        </w:rPr>
        <w:t xml:space="preserve"> La Secretaría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29.</w:t>
      </w:r>
      <w:r w:rsidRPr="001133F6">
        <w:rPr>
          <w:rFonts w:cs="Arial"/>
          <w:sz w:val="22"/>
        </w:rPr>
        <w:t xml:space="preserve"> La Secretaría, así como los Órganos internos de control de los entes públicos, según corresponda, serán responsables de inscribir y mantener actualizado el sistema de evolución patrimonial, de declaración de intereses y constancia de presentación de declaración fiscal, de la Plataforma Digital Estatal, la información correspondiente a los Declarantes a su cargo.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y la Ley General. Para tales efectos, la Secretaría podrá firmar convenios con las distintas autoridades que tengan a su disposición datos, información o documentos que puedan servir para verificar la información declarada por los Servidores Públicos.</w:t>
      </w:r>
    </w:p>
    <w:p w:rsidR="00F023D1" w:rsidRDefault="00F023D1">
      <w:pPr>
        <w:pStyle w:val="Estilo"/>
        <w:rPr>
          <w:rFonts w:cs="Arial"/>
          <w:sz w:val="22"/>
        </w:rPr>
      </w:pPr>
    </w:p>
    <w:p w:rsidR="00BB521F"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Sección Segunda</w:t>
      </w:r>
    </w:p>
    <w:p w:rsidR="00F023D1" w:rsidRPr="008F5C13" w:rsidRDefault="00A22FF1" w:rsidP="00501E5B">
      <w:pPr>
        <w:pStyle w:val="Estilo"/>
        <w:jc w:val="center"/>
        <w:rPr>
          <w:rFonts w:cs="Arial"/>
          <w:b/>
          <w:sz w:val="22"/>
        </w:rPr>
      </w:pPr>
      <w:r w:rsidRPr="008F5C13">
        <w:rPr>
          <w:rFonts w:cs="Arial"/>
          <w:b/>
          <w:sz w:val="22"/>
        </w:rPr>
        <w:t>De los sujetos obligados a presentar declaración patrimonial y de intereses</w:t>
      </w:r>
    </w:p>
    <w:p w:rsidR="00F023D1" w:rsidRDefault="00F023D1">
      <w:pPr>
        <w:pStyle w:val="Estilo"/>
        <w:rPr>
          <w:rFonts w:cs="Arial"/>
          <w:b/>
          <w:sz w:val="22"/>
        </w:rPr>
      </w:pPr>
    </w:p>
    <w:p w:rsidR="00777019" w:rsidRPr="00BB521F" w:rsidRDefault="00777019" w:rsidP="00777019">
      <w:pPr>
        <w:pStyle w:val="Estilo"/>
        <w:rPr>
          <w:rFonts w:cs="Arial"/>
          <w:sz w:val="14"/>
        </w:rPr>
      </w:pPr>
      <w:r w:rsidRPr="00BB521F">
        <w:rPr>
          <w:rFonts w:cs="Arial"/>
          <w:sz w:val="14"/>
        </w:rPr>
        <w:t>Reforma,</w:t>
      </w:r>
      <w:r>
        <w:rPr>
          <w:rFonts w:cs="Arial"/>
          <w:sz w:val="14"/>
        </w:rPr>
        <w:t xml:space="preserve"> publicada en el POGE de fecha 21 de marzo de 2019</w:t>
      </w:r>
    </w:p>
    <w:p w:rsidR="00F023D1" w:rsidRDefault="00A22FF1" w:rsidP="00777019">
      <w:pPr>
        <w:pStyle w:val="Estilo"/>
        <w:rPr>
          <w:rFonts w:cs="Arial"/>
          <w:sz w:val="22"/>
        </w:rPr>
      </w:pPr>
      <w:r w:rsidRPr="008F5C13">
        <w:rPr>
          <w:rFonts w:cs="Arial"/>
          <w:b/>
          <w:sz w:val="22"/>
        </w:rPr>
        <w:t>Artículo 30.</w:t>
      </w:r>
      <w:r w:rsidRPr="001133F6">
        <w:rPr>
          <w:rFonts w:cs="Arial"/>
          <w:sz w:val="22"/>
        </w:rPr>
        <w:t xml:space="preserve"> </w:t>
      </w:r>
      <w:r w:rsidR="00777019">
        <w:rPr>
          <w:rFonts w:cs="Arial"/>
          <w:sz w:val="22"/>
        </w:rPr>
        <w:t>Estarán obligados a presentar las declaraciones de situación patrimonial y de intereses, bajo protesta de decir verdad y ante la Secretaría o su respectivo Órgano Interno de Control</w:t>
      </w:r>
      <w:r w:rsidR="0029589B">
        <w:rPr>
          <w:rFonts w:cs="Arial"/>
          <w:sz w:val="22"/>
        </w:rPr>
        <w:t xml:space="preserve">, todos los servidores públicos, en los términos previstos en la presente Ley y la Ley General. Asimismo, deberán presentar su declaración fiscal anual, en los términos que disponga la legislación de la materia. Los servidores públicos pertenecientes a Dependencias y Entidades de la Administración Pública Estatal, las citadas declaraciones se presentarán ante la Secretaría. Los servidores Públicos de los Poderes Legislativo y Judicial, de los Organismos Constitucionales Autónomos, las presentarán ante sus respectivos Órganos Internos de Control. Para efectos de lo anterior, dichos Poderes, Organismos, </w:t>
      </w:r>
      <w:r w:rsidR="00FC53B8">
        <w:rPr>
          <w:rFonts w:cs="Arial"/>
          <w:sz w:val="22"/>
        </w:rPr>
        <w:t>podrán celebrar convenios con la Secretaría para el uso de las plataformas tecnológicas de esta última.</w:t>
      </w:r>
    </w:p>
    <w:p w:rsidR="00FC53B8" w:rsidRDefault="00FC53B8" w:rsidP="00777019">
      <w:pPr>
        <w:pStyle w:val="Estilo"/>
        <w:rPr>
          <w:rFonts w:cs="Arial"/>
          <w:sz w:val="22"/>
        </w:rPr>
      </w:pPr>
    </w:p>
    <w:p w:rsidR="00FC53B8" w:rsidRDefault="00FC53B8" w:rsidP="00777019">
      <w:pPr>
        <w:pStyle w:val="Estilo"/>
        <w:rPr>
          <w:rFonts w:cs="Arial"/>
          <w:sz w:val="22"/>
        </w:rPr>
      </w:pPr>
      <w:r>
        <w:rPr>
          <w:rFonts w:cs="Arial"/>
          <w:sz w:val="22"/>
        </w:rPr>
        <w:t>Tratándose de los ayuntamientos agentes municipales, de Policía y demás servidores públicos municipales deberán presentar las declaraciones ante el Órgano Interno de Control del Congreso del Estado.</w:t>
      </w:r>
    </w:p>
    <w:p w:rsidR="00FC53B8" w:rsidRDefault="00FC53B8" w:rsidP="00777019">
      <w:pPr>
        <w:pStyle w:val="Estilo"/>
        <w:rPr>
          <w:rFonts w:cs="Arial"/>
          <w:sz w:val="22"/>
        </w:rPr>
      </w:pPr>
    </w:p>
    <w:p w:rsidR="00777019" w:rsidRDefault="00FC53B8">
      <w:pPr>
        <w:pStyle w:val="Estilo"/>
        <w:rPr>
          <w:rFonts w:cs="Arial"/>
          <w:sz w:val="22"/>
        </w:rPr>
      </w:pPr>
      <w:r>
        <w:rPr>
          <w:rFonts w:cs="Arial"/>
          <w:sz w:val="22"/>
        </w:rPr>
        <w:t>Asimismo, los Servidores Públicos deberán presentar su declaración fiscal anual en los términos que disponga la legislación en la materia.</w:t>
      </w:r>
    </w:p>
    <w:p w:rsidR="00777019" w:rsidRDefault="00777019">
      <w:pPr>
        <w:pStyle w:val="Estilo"/>
        <w:rPr>
          <w:rFonts w:cs="Arial"/>
          <w:sz w:val="22"/>
        </w:rPr>
      </w:pPr>
    </w:p>
    <w:p w:rsidR="00777019" w:rsidRDefault="00777019">
      <w:pPr>
        <w:pStyle w:val="Estilo"/>
        <w:rPr>
          <w:rFonts w:cs="Arial"/>
          <w:sz w:val="22"/>
        </w:rPr>
      </w:pPr>
    </w:p>
    <w:p w:rsidR="00777019" w:rsidRDefault="00777019">
      <w:pPr>
        <w:pStyle w:val="Estilo"/>
        <w:rPr>
          <w:rFonts w:cs="Arial"/>
          <w:sz w:val="22"/>
        </w:rPr>
      </w:pPr>
    </w:p>
    <w:p w:rsidR="00777019" w:rsidRDefault="00777019">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lastRenderedPageBreak/>
        <w:t>Sección Tercera</w:t>
      </w:r>
    </w:p>
    <w:p w:rsidR="00F023D1" w:rsidRPr="008F5C13" w:rsidRDefault="00A22FF1" w:rsidP="00501E5B">
      <w:pPr>
        <w:pStyle w:val="Estilo"/>
        <w:jc w:val="center"/>
        <w:rPr>
          <w:rFonts w:cs="Arial"/>
          <w:b/>
          <w:sz w:val="22"/>
        </w:rPr>
      </w:pPr>
      <w:r w:rsidRPr="008F5C13">
        <w:rPr>
          <w:rFonts w:cs="Arial"/>
          <w:b/>
          <w:sz w:val="22"/>
        </w:rPr>
        <w:t>Plazos y mecanismos de registro al sistema de evolución patrimonial, de declaración de intereses y constancia de presentación de declaración fiscal</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31.</w:t>
      </w:r>
      <w:r w:rsidRPr="001133F6">
        <w:rPr>
          <w:rFonts w:cs="Arial"/>
          <w:sz w:val="22"/>
        </w:rPr>
        <w:t xml:space="preserve"> La declaración de situación patrimonial deberá presentarse en los siguientes plazos: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 Declaración inicial, dentro de los sesenta días naturales siguientes a la toma de posesión con motivo del: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a) Ingreso al servicio público por primera vez; 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b) Reingreso al servicio público después de sesenta días naturales de la conclusión de su último encargo;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 Declaración de modificación patrimonial, durante el mes de mayo de cada año; 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III. Declaración de conclusión del encargo, dentro de los sesenta días naturales siguientes a la conclusión.</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En el caso de cambio de dependencia o entidad en el mismo orden de gobierno, únicamente se dará aviso de dicha situación y no será necesario presentar la declaración de conclusión.</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La Secretaría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Tratándose de los supuestos previstos en las fracciones I y II de este artículo, en caso de que la omisión en la declaración continúe por un periodo de treinta días naturales siguientes a la fecha en que hubiere notificado el requerimiento al Declarante, la Secretaría o los Órganos internos de control, según corresponda, declararán que el nombramiento o contrato ha quedado sin efectos, debiendo notificar lo anterior al titular del Ente público correspondiente para separar del cargo al servidor público.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El incumplimiento por no separar del cargo al servidor público por parte del titular de alguno de los entes públicos, será causa de responsabilidad administrativa en los términos de esta Ley y la Ley General.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Para el caso de omisión, sin causa justificada, en la presentación de la declaración a que se refiere la fracción III de este artículo, se inhabilitará al infractor de tres meses a un año.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Para la imposición de las sanciones a que se refiere este artículo deberá sustanciarse el procedimiento de responsabilidad administrativa por faltas administrativas previsto en el Título Segundo del Libro Segundo de la Ley General.</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32.</w:t>
      </w:r>
      <w:r w:rsidRPr="001133F6">
        <w:rPr>
          <w:rFonts w:cs="Arial"/>
          <w:sz w:val="22"/>
        </w:rPr>
        <w:t xml:space="preserve"> Las declaraciones de situación patrimonial deberán ser presentadas a través de medios electrónicos, empleándose medios de identificación electrónica. En el caso de municipios que no cuenten con las tecnologías de la información y comunicación necesarias para cumplir lo anterior, podrán emplearse formatos impresos, siendo responsabilidad de los Órganos internos de control y la Secretaría verificar que dichos formatos sean digitalizados e incluir la información que corresponda en el sistema de evolución patrimonial y de declaración de intereses.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La Secretaría tendrá a su cargo el sistema de certificación de los medios de identificación electrónica que utilicen los Servidores Públicos, y llevarán el control de dichos medios.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Las declaraciones Patrimoniales y de Intereses, se presentarán en los formatos que al efecto establezca el Comité Coordinador del Sistema Nacional Anticorrupción.</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Para los efectos de los procedimientos penales que se deriven de la aplicación de las disposiciones del presente Título, son documentos públicos aquellos que emita la Secretaría para ser presentados como medios de prueba, en los cuales se contenga la información que obre en sus archivos documentales y electrónicos sobre las declaraciones de situación patrimonial de los Servidores Públicos.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 y demás normatividad aplicable.</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33.</w:t>
      </w:r>
      <w:r w:rsidRPr="001133F6">
        <w:rPr>
          <w:rFonts w:cs="Arial"/>
          <w:sz w:val="22"/>
        </w:rPr>
        <w:t xml:space="preserve"> En la declaración inicial y de conclusión del encargo se manifestarán los bienes inmuebles, con la fecha y valor de adquisición.</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En las declaraciones de modificación patrimonial se manifestarán sólo las modificaciones al patrimonio, con fecha y valor de adquisición. En todo caso se indicará el medio por el que se hizo la adquisición.</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34.</w:t>
      </w:r>
      <w:r w:rsidRPr="001133F6">
        <w:rPr>
          <w:rFonts w:cs="Arial"/>
          <w:sz w:val="22"/>
        </w:rPr>
        <w:t xml:space="preserve"> La Secretaría y los Órganos internos de control, estarán facultados para llevar a cabo investigaciones o auditorías para verificar la evolución del patrimonio de los Declarantes.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35.</w:t>
      </w:r>
      <w:r w:rsidRPr="001133F6">
        <w:rPr>
          <w:rFonts w:cs="Arial"/>
          <w:sz w:val="22"/>
        </w:rPr>
        <w:t xml:space="preserve"> En los casos en que la declaración de situación patrimonial del Declarante refleje un incremento en su patrimonio que no sea explicable o justificable en virtud de su remuneración como servidor público, la Secretaría o los Órganos internos de control inmediatamente solicitarán sea aclarado el origen de dicho enriquecimiento. De no justificarse la procedencia de dicho enriquecimiento, la Secretaría o los Órganos internos de control procederán a integrar el expediente correspondiente para darle trámite conforme a lo establecido en la Ley General, y formularán, en su caso, la denuncia correspondiente ante el Ministerio Público.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Los Servidores Públicos de los centros públicos de investigación e instituciones de educación que realicen actividades de investigación científica, desarrollo tecnológico e innovación podrán realizar actividades de vinculación con los sectores público, privado y social, y recibir beneficios, en los términos que para ello establezcan los órganos de gobierno de dichos centros, instituciones y entidades, con la previa opinión de la Secretaría, sin que dichos beneficios se consideren como tales para efectos de lo contenido en el artículo 52 de esta la (sic) Ley General.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Las actividades de vinculación a las que hace referencia el párrafo anterior, además de las previstas en el artículo 51 de la Ley de Ciencia y Tecnología, incluirán la participación 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 intelectual perteneciente a la propia institución, centro o entidad, según corresponda. Dichos Servidores Públicos incurrirán en conflicto de intereses cuando obtengan beneficios por utilidades, regalías o por cualquier otro concepto en contravención a las disposiciones aplicables en la Institución.</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36.</w:t>
      </w:r>
      <w:r w:rsidRPr="001133F6">
        <w:rPr>
          <w:rFonts w:cs="Arial"/>
          <w:sz w:val="22"/>
        </w:rPr>
        <w:t xml:space="preserve"> Los Declarantes estarán obligados a proporcionar a la Secretaría y los Órganos internos de control, la información que se requiera para verificar la evolución de su situación patrimonial, incluyendo la de sus cónyuges, concubinas o concubinarios y dependientes económicos directos.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Sólo el titular de la Secretaría o los Servidores Públicos en quien delegue esta facultad podrán solicitar a las autoridades competentes, en los términos de las disposiciones aplicables, la información en materia fiscal, o la relacionada con operaciones de depósito, ahorro, administración o inversión de recursos monetarios.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37.</w:t>
      </w:r>
      <w:r w:rsidRPr="001133F6">
        <w:rPr>
          <w:rFonts w:cs="Arial"/>
          <w:sz w:val="22"/>
        </w:rPr>
        <w:t xml:space="preserve">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38.</w:t>
      </w:r>
      <w:r w:rsidRPr="001133F6">
        <w:rPr>
          <w:rFonts w:cs="Arial"/>
          <w:sz w:val="22"/>
        </w:rPr>
        <w:t xml:space="preserve"> En caso de que los Servidores Públicos, sin haberlo solicitado, reciban de un particular de manera gratuita la transmisión de la propiedad o el ofrecimiento para el uso de cualquier bien, con motivo del ejercicio de sus funciones, deberán informarlo inmediatamente a la Secretaría o al Órgano interno de control. En el caso de recepción de bienes, los Servidores Públicos procederán a poner los mismos a disposición de las autoridades competentes en materia de administración y enajenación de bienes públicos.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39.</w:t>
      </w:r>
      <w:r w:rsidRPr="001133F6">
        <w:rPr>
          <w:rFonts w:cs="Arial"/>
          <w:sz w:val="22"/>
        </w:rPr>
        <w:t xml:space="preserve"> La Secretaría y los Órganos internos de control,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lastRenderedPageBreak/>
        <w:t>Artículo 40.</w:t>
      </w:r>
      <w:r w:rsidRPr="001133F6">
        <w:rPr>
          <w:rFonts w:cs="Arial"/>
          <w:sz w:val="22"/>
        </w:rPr>
        <w:t xml:space="preserve"> Cuando las Autoridades investigadoras, en el ámbito de sus competencias, llegaren a formular denuncias ante el Ministerio Público correspondiente, éstas serán coadyuvantes del mismo en el procedimiento penal respectivo.</w:t>
      </w:r>
    </w:p>
    <w:p w:rsidR="00F023D1" w:rsidRDefault="00F023D1">
      <w:pPr>
        <w:pStyle w:val="Estilo"/>
        <w:rPr>
          <w:rFonts w:cs="Arial"/>
          <w:sz w:val="22"/>
        </w:rPr>
      </w:pPr>
    </w:p>
    <w:p w:rsidR="00BB521F" w:rsidRPr="001133F6"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Sección Cuarta</w:t>
      </w:r>
    </w:p>
    <w:p w:rsidR="00F023D1" w:rsidRPr="008F5C13" w:rsidRDefault="00A22FF1" w:rsidP="00501E5B">
      <w:pPr>
        <w:pStyle w:val="Estilo"/>
        <w:jc w:val="center"/>
        <w:rPr>
          <w:rFonts w:cs="Arial"/>
          <w:b/>
          <w:sz w:val="22"/>
        </w:rPr>
      </w:pPr>
      <w:r w:rsidRPr="008F5C13">
        <w:rPr>
          <w:rFonts w:cs="Arial"/>
          <w:b/>
          <w:sz w:val="22"/>
        </w:rPr>
        <w:t>Régimen de los servidores públicos que participan en contrataciones públicas</w:t>
      </w:r>
    </w:p>
    <w:p w:rsidR="00F023D1" w:rsidRPr="008F5C13" w:rsidRDefault="00F023D1" w:rsidP="00501E5B">
      <w:pPr>
        <w:pStyle w:val="Estilo"/>
        <w:jc w:val="center"/>
        <w:rPr>
          <w:rFonts w:cs="Arial"/>
          <w:b/>
          <w:sz w:val="22"/>
        </w:rPr>
      </w:pPr>
    </w:p>
    <w:p w:rsidR="00F023D1" w:rsidRPr="001133F6" w:rsidRDefault="00A22FF1">
      <w:pPr>
        <w:pStyle w:val="Estilo"/>
        <w:rPr>
          <w:rFonts w:cs="Arial"/>
          <w:sz w:val="22"/>
        </w:rPr>
      </w:pPr>
      <w:r w:rsidRPr="008F5C13">
        <w:rPr>
          <w:rFonts w:cs="Arial"/>
          <w:b/>
          <w:sz w:val="22"/>
        </w:rPr>
        <w:t>Artículo 41.</w:t>
      </w:r>
      <w:r w:rsidRPr="001133F6">
        <w:rPr>
          <w:rFonts w:cs="Arial"/>
          <w:sz w:val="22"/>
        </w:rPr>
        <w:t xml:space="preserve"> El registro de la información relativa a los nombres y adscripción de los servidores públicos que intervengan en procedimientos de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en el sistema a que se refiere la fracción II, del artículo 43, de la Ley Estatal del Sistema de Combate a la Corrupción, se realizará por la Secretaría y los Órganos Internos de Control, a través de los formatos y mecanismos que establezca en su plataforma digital el Comité Coordinador del Sistema Estatal de Combate a la Corrupción</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Para el caso de los servidores públicos pertenecientes a las Dependencias y Entidades de la Administración Pública Estatal, la Secretaría publicará la información a que se refiere este artículo, a través de un portal de Internet.</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Los Órganos Internos de Control de los Poderes Legislativo y Judicial, de los Organismos Constitucionales Autónomos y de los Municipios, serán los encargados de publicar la información en los términos a que se refiere el párrafo anterior, respecto de los servidores públicos de dichos Entes Públicos</w:t>
      </w:r>
    </w:p>
    <w:p w:rsidR="00F023D1" w:rsidRDefault="00F023D1">
      <w:pPr>
        <w:pStyle w:val="Estilo"/>
        <w:rPr>
          <w:rFonts w:cs="Arial"/>
          <w:sz w:val="22"/>
        </w:rPr>
      </w:pPr>
    </w:p>
    <w:p w:rsidR="00BB521F" w:rsidRPr="001133F6"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Sección Quinta</w:t>
      </w:r>
    </w:p>
    <w:p w:rsidR="00F023D1" w:rsidRPr="008F5C13" w:rsidRDefault="00A22FF1" w:rsidP="00501E5B">
      <w:pPr>
        <w:pStyle w:val="Estilo"/>
        <w:jc w:val="center"/>
        <w:rPr>
          <w:rFonts w:cs="Arial"/>
          <w:b/>
          <w:sz w:val="22"/>
        </w:rPr>
      </w:pPr>
      <w:r w:rsidRPr="008F5C13">
        <w:rPr>
          <w:rFonts w:cs="Arial"/>
          <w:b/>
          <w:sz w:val="22"/>
        </w:rPr>
        <w:t>Del protocolo de actuación en contrataciones</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42.</w:t>
      </w:r>
      <w:r w:rsidRPr="001133F6">
        <w:rPr>
          <w:rFonts w:cs="Arial"/>
          <w:sz w:val="22"/>
        </w:rPr>
        <w:t xml:space="preserve"> La Secretaría y los Órganos Internos de Control implementarán el Protocolo de actuación que, en materia de contrataciones, expida el Comité Coordinador del Sistema Nacional Anticorrupción en términos de la ley General.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Dicho protocolo de actuación deberá ser cumplido por los Servidores Públicos inscritos en el sistema específico de la Plataforma digital estatal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El sistema específico de la Plataforma digital estatal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rsidR="00F023D1" w:rsidRPr="001133F6" w:rsidRDefault="00F023D1">
      <w:pPr>
        <w:pStyle w:val="Estilo"/>
        <w:rPr>
          <w:rFonts w:cs="Arial"/>
          <w:sz w:val="22"/>
        </w:rPr>
      </w:pPr>
    </w:p>
    <w:p w:rsidR="00F023D1" w:rsidRDefault="00A22FF1">
      <w:pPr>
        <w:pStyle w:val="Estilo"/>
        <w:rPr>
          <w:rFonts w:cs="Arial"/>
          <w:sz w:val="22"/>
        </w:rPr>
      </w:pPr>
      <w:r w:rsidRPr="008F5C13">
        <w:rPr>
          <w:rFonts w:cs="Arial"/>
          <w:b/>
          <w:sz w:val="22"/>
        </w:rPr>
        <w:t>Artículo 43.</w:t>
      </w:r>
      <w:r w:rsidRPr="001133F6">
        <w:rPr>
          <w:rFonts w:cs="Arial"/>
          <w:sz w:val="22"/>
        </w:rPr>
        <w:t xml:space="preserve"> La Secretaría o los Órganos internos de control deberán supervisar la ejecución de los procedimientos de contratación pública por parte de los contratantes para </w:t>
      </w:r>
      <w:r w:rsidRPr="001133F6">
        <w:rPr>
          <w:rFonts w:cs="Arial"/>
          <w:sz w:val="22"/>
        </w:rPr>
        <w:lastRenderedPageBreak/>
        <w:t>garantizar que se lleva a cabo en los términos de las disposiciones en la materia, llevando a cabo las verificaciones procedentes si descubren anomalías.</w:t>
      </w:r>
    </w:p>
    <w:p w:rsidR="00BB521F" w:rsidRDefault="00BB521F">
      <w:pPr>
        <w:pStyle w:val="Estilo"/>
        <w:rPr>
          <w:rFonts w:cs="Arial"/>
          <w:sz w:val="22"/>
        </w:rPr>
      </w:pPr>
    </w:p>
    <w:p w:rsidR="00BB521F" w:rsidRPr="001133F6"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Sección Sexta</w:t>
      </w:r>
    </w:p>
    <w:p w:rsidR="00F023D1" w:rsidRPr="008F5C13" w:rsidRDefault="00A22FF1" w:rsidP="00501E5B">
      <w:pPr>
        <w:pStyle w:val="Estilo"/>
        <w:jc w:val="center"/>
        <w:rPr>
          <w:rFonts w:cs="Arial"/>
          <w:b/>
          <w:sz w:val="22"/>
        </w:rPr>
      </w:pPr>
      <w:r w:rsidRPr="008F5C13">
        <w:rPr>
          <w:rFonts w:cs="Arial"/>
          <w:b/>
          <w:sz w:val="22"/>
        </w:rPr>
        <w:t>De la declaración de intereses</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44.</w:t>
      </w:r>
      <w:r w:rsidRPr="001133F6">
        <w:rPr>
          <w:rFonts w:cs="Arial"/>
          <w:sz w:val="22"/>
        </w:rPr>
        <w:t xml:space="preserve"> Se encuentran obligados a presentar declaración de intereses todos los Servidores Públicos que deban presentar la declaración patrimonial en términos de esta Ley.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Al efecto, la Secretaría y los Órganos internos de control se encargarán de que las declaraciones sean integradas al sistema de evolución patrimonial, de declaración de intereses y constancia de presentación de declaración fiscal.</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45.</w:t>
      </w:r>
      <w:r w:rsidRPr="001133F6">
        <w:rPr>
          <w:rFonts w:cs="Arial"/>
          <w:sz w:val="22"/>
        </w:rPr>
        <w:t xml:space="preserve"> Para efectos del artículo anterior habrá Conflicto de Interés en los casos a los que se refiere la fracción VI del artículo 3 de esta Ley.</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La declaración de intereses tendrá por objeto informar y determinar el conjunto de intereses de un servidor público a fin de delimitar cuándo éstos entran en conflicto con su función.</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46.</w:t>
      </w:r>
      <w:r w:rsidRPr="001133F6">
        <w:rPr>
          <w:rFonts w:cs="Arial"/>
          <w:sz w:val="22"/>
        </w:rPr>
        <w:t xml:space="preserve"> La declaración de intereses se presentará de conformidad con las normas y formatos impresos, de medios magnéticos y electrónicos, de acuerdo a los manuales e instructivos que para tal efecto emita el Sistema Nacional Anticorrupción, observando lo dispuesto por el artículo 29 de la Ley General.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La declaración de intereses deberá presentarse en los plazos a que se refiere el artículo 33 de la Ley General y de la misma manera le serán aplicables los procedimientos establecidos en dicho artículo para el incumplimiento de dichos plazos. También deberá presentar la declaración en cualquier momento en que el servidor público, en el ejercicio de sus funciones, considere que se puede actualizar un posible Conflicto de Interés.</w:t>
      </w:r>
    </w:p>
    <w:p w:rsidR="00F023D1" w:rsidRPr="001133F6" w:rsidRDefault="00F023D1">
      <w:pPr>
        <w:pStyle w:val="Estilo"/>
        <w:rPr>
          <w:rFonts w:cs="Arial"/>
          <w:sz w:val="22"/>
        </w:rPr>
      </w:pPr>
    </w:p>
    <w:p w:rsidR="00F023D1" w:rsidRPr="001133F6" w:rsidRDefault="00F023D1" w:rsidP="00501E5B">
      <w:pPr>
        <w:pStyle w:val="Estilo"/>
        <w:jc w:val="center"/>
        <w:rPr>
          <w:rFonts w:cs="Arial"/>
          <w:sz w:val="22"/>
        </w:rPr>
      </w:pPr>
    </w:p>
    <w:p w:rsidR="00F023D1" w:rsidRPr="008F5C13" w:rsidRDefault="00A22FF1" w:rsidP="00501E5B">
      <w:pPr>
        <w:pStyle w:val="Estilo"/>
        <w:jc w:val="center"/>
        <w:rPr>
          <w:rFonts w:cs="Arial"/>
          <w:b/>
          <w:sz w:val="22"/>
        </w:rPr>
      </w:pPr>
      <w:r w:rsidRPr="008F5C13">
        <w:rPr>
          <w:rFonts w:cs="Arial"/>
          <w:b/>
          <w:sz w:val="22"/>
        </w:rPr>
        <w:t>TÍTULO TERCERO</w:t>
      </w:r>
    </w:p>
    <w:p w:rsidR="00F023D1" w:rsidRPr="008F5C13" w:rsidRDefault="00A22FF1" w:rsidP="00501E5B">
      <w:pPr>
        <w:pStyle w:val="Estilo"/>
        <w:jc w:val="center"/>
        <w:rPr>
          <w:rFonts w:cs="Arial"/>
          <w:b/>
          <w:sz w:val="22"/>
        </w:rPr>
      </w:pPr>
      <w:r w:rsidRPr="008F5C13">
        <w:rPr>
          <w:rFonts w:cs="Arial"/>
          <w:b/>
          <w:sz w:val="22"/>
        </w:rPr>
        <w:t>DE LAS FALTAS ADMINISTRATIVAS DE LOS SERVIDORES PÚBLICOS Y ACTOS DE PARTICULARES VINCULADOS CON FALTAS ADMINISTRATIVAS GRAVES</w:t>
      </w:r>
    </w:p>
    <w:p w:rsidR="00F023D1" w:rsidRPr="008F5C13" w:rsidRDefault="00F023D1" w:rsidP="00501E5B">
      <w:pPr>
        <w:pStyle w:val="Estilo"/>
        <w:jc w:val="center"/>
        <w:rPr>
          <w:rFonts w:cs="Arial"/>
          <w:b/>
          <w:sz w:val="22"/>
        </w:rPr>
      </w:pPr>
    </w:p>
    <w:p w:rsidR="00F023D1" w:rsidRPr="008F5C13" w:rsidRDefault="00A22FF1" w:rsidP="00501E5B">
      <w:pPr>
        <w:pStyle w:val="Estilo"/>
        <w:jc w:val="center"/>
        <w:rPr>
          <w:rFonts w:cs="Arial"/>
          <w:b/>
          <w:sz w:val="22"/>
        </w:rPr>
      </w:pPr>
      <w:r w:rsidRPr="008F5C13">
        <w:rPr>
          <w:rFonts w:cs="Arial"/>
          <w:b/>
          <w:sz w:val="22"/>
        </w:rPr>
        <w:t>Capítulo I</w:t>
      </w:r>
    </w:p>
    <w:p w:rsidR="00F023D1" w:rsidRPr="008F5C13" w:rsidRDefault="00A22FF1" w:rsidP="00501E5B">
      <w:pPr>
        <w:pStyle w:val="Estilo"/>
        <w:jc w:val="center"/>
        <w:rPr>
          <w:rFonts w:cs="Arial"/>
          <w:b/>
          <w:sz w:val="22"/>
        </w:rPr>
      </w:pPr>
      <w:r w:rsidRPr="008F5C13">
        <w:rPr>
          <w:rFonts w:cs="Arial"/>
          <w:b/>
          <w:sz w:val="22"/>
        </w:rPr>
        <w:t>De las Faltas administrativas no graves de los Servidores Públicos</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47</w:t>
      </w:r>
      <w:r w:rsidRPr="001133F6">
        <w:rPr>
          <w:rFonts w:cs="Arial"/>
          <w:sz w:val="22"/>
        </w:rPr>
        <w:t>. Incurrirán en Faltas administrativas no graves, Faltas administrativas graves, Faltas de particulares en la modalidad de graves y Faltas de particulares en situación especial quienes actualicen los supuestos previstos en el Título Segundo y los Capítulos I, II, III y IV de la Ley General.</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48.</w:t>
      </w:r>
      <w:r w:rsidRPr="001133F6">
        <w:rPr>
          <w:rFonts w:cs="Arial"/>
          <w:sz w:val="22"/>
        </w:rPr>
        <w:t xml:space="preserve"> Cuando los entes públicos o los particulares hayan recibido recursos públicos sin tener derecho a los mismos, y omitan reintegrarlos en términos de la Ley General, dichos recursos serán considerados créditos fiscales. La Secretaría de Finanzas del Poder Ejecutivo del Estado de Oaxaca o la dependencia encargada de las finanzas públicas de </w:t>
      </w:r>
      <w:r w:rsidRPr="001133F6">
        <w:rPr>
          <w:rFonts w:cs="Arial"/>
          <w:sz w:val="22"/>
        </w:rPr>
        <w:lastRenderedPageBreak/>
        <w:t>los municipios, según corresponda, deberán ejecutar el cobro de los mismos en términos del Código Fiscal para el Estado de Oaxaca o el Código Fiscal Municipal del Estado de Oaxaca.</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49.</w:t>
      </w:r>
      <w:r w:rsidRPr="001133F6">
        <w:rPr>
          <w:rFonts w:cs="Arial"/>
          <w:sz w:val="22"/>
        </w:rPr>
        <w:t xml:space="preserve"> Cuando se incurra en colusión respecto de transacciones comerciales internacionales, se informará a la Secretaría de la Función Pública del poder ejecutivo federal, para que ésta realice las investigaciones y acciones conducentes en términos de la Ley General.</w:t>
      </w:r>
    </w:p>
    <w:p w:rsidR="00F023D1" w:rsidRPr="001133F6" w:rsidRDefault="00F023D1">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Capítulo II</w:t>
      </w:r>
    </w:p>
    <w:p w:rsidR="00F023D1" w:rsidRPr="008F5C13" w:rsidRDefault="00A22FF1" w:rsidP="00501E5B">
      <w:pPr>
        <w:pStyle w:val="Estilo"/>
        <w:jc w:val="center"/>
        <w:rPr>
          <w:rFonts w:cs="Arial"/>
          <w:b/>
          <w:sz w:val="22"/>
        </w:rPr>
      </w:pPr>
      <w:r w:rsidRPr="008F5C13">
        <w:rPr>
          <w:rFonts w:cs="Arial"/>
          <w:b/>
          <w:sz w:val="22"/>
        </w:rPr>
        <w:t>De la prescripción de la responsabilidad administrativa</w:t>
      </w:r>
    </w:p>
    <w:p w:rsidR="00F023D1" w:rsidRPr="008F5C13" w:rsidRDefault="00F023D1">
      <w:pPr>
        <w:pStyle w:val="Estilo"/>
        <w:rPr>
          <w:rFonts w:cs="Arial"/>
          <w:b/>
          <w:sz w:val="22"/>
        </w:rPr>
      </w:pPr>
    </w:p>
    <w:p w:rsidR="00F023D1" w:rsidRDefault="00A22FF1">
      <w:pPr>
        <w:pStyle w:val="Estilo"/>
        <w:rPr>
          <w:rFonts w:cs="Arial"/>
          <w:sz w:val="22"/>
        </w:rPr>
      </w:pPr>
      <w:r w:rsidRPr="008F5C13">
        <w:rPr>
          <w:rFonts w:cs="Arial"/>
          <w:b/>
          <w:sz w:val="22"/>
        </w:rPr>
        <w:t>Artículo 50.</w:t>
      </w:r>
      <w:r w:rsidRPr="001133F6">
        <w:rPr>
          <w:rFonts w:cs="Arial"/>
          <w:sz w:val="22"/>
        </w:rPr>
        <w:t xml:space="preserve"> Para el caso de las Faltas administrativas graves y no graves, las facultades de la Secretaría, de los Órganos internos de control y el Tribunal, para imponer las sanciones prescribirán de acuerdo a lo dispuesto en el Capítulo V, del Título Tercero, Libro Primero de la Ley General.</w:t>
      </w:r>
    </w:p>
    <w:p w:rsidR="00BB521F" w:rsidRPr="001133F6"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TÍTULO CUARTO</w:t>
      </w:r>
    </w:p>
    <w:p w:rsidR="00F023D1" w:rsidRPr="008F5C13" w:rsidRDefault="00A22FF1" w:rsidP="00501E5B">
      <w:pPr>
        <w:pStyle w:val="Estilo"/>
        <w:jc w:val="center"/>
        <w:rPr>
          <w:rFonts w:cs="Arial"/>
          <w:b/>
          <w:sz w:val="22"/>
        </w:rPr>
      </w:pPr>
      <w:r w:rsidRPr="008F5C13">
        <w:rPr>
          <w:rFonts w:cs="Arial"/>
          <w:b/>
          <w:sz w:val="22"/>
        </w:rPr>
        <w:t>SANCIONES</w:t>
      </w:r>
    </w:p>
    <w:p w:rsidR="00F023D1" w:rsidRPr="008F5C13" w:rsidRDefault="00F023D1" w:rsidP="00501E5B">
      <w:pPr>
        <w:pStyle w:val="Estilo"/>
        <w:jc w:val="center"/>
        <w:rPr>
          <w:rFonts w:cs="Arial"/>
          <w:b/>
          <w:sz w:val="22"/>
        </w:rPr>
      </w:pPr>
    </w:p>
    <w:p w:rsidR="00F023D1" w:rsidRPr="008F5C13" w:rsidRDefault="00A22FF1" w:rsidP="00501E5B">
      <w:pPr>
        <w:pStyle w:val="Estilo"/>
        <w:jc w:val="center"/>
        <w:rPr>
          <w:rFonts w:cs="Arial"/>
          <w:b/>
          <w:sz w:val="22"/>
        </w:rPr>
      </w:pPr>
      <w:r w:rsidRPr="008F5C13">
        <w:rPr>
          <w:rFonts w:cs="Arial"/>
          <w:b/>
          <w:sz w:val="22"/>
        </w:rPr>
        <w:t>Capítulo Único</w:t>
      </w:r>
    </w:p>
    <w:p w:rsidR="00F023D1" w:rsidRPr="008F5C13" w:rsidRDefault="00A22FF1" w:rsidP="00501E5B">
      <w:pPr>
        <w:pStyle w:val="Estilo"/>
        <w:jc w:val="center"/>
        <w:rPr>
          <w:rFonts w:cs="Arial"/>
          <w:b/>
          <w:sz w:val="22"/>
        </w:rPr>
      </w:pPr>
      <w:r w:rsidRPr="008F5C13">
        <w:rPr>
          <w:rFonts w:cs="Arial"/>
          <w:b/>
          <w:sz w:val="22"/>
        </w:rPr>
        <w:t>Sanciones por las Faltas administrativas no graves, las Faltas Administrativas graves y las Faltas de Particulares.</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51</w:t>
      </w:r>
      <w:r w:rsidRPr="001133F6">
        <w:rPr>
          <w:rFonts w:cs="Arial"/>
          <w:sz w:val="22"/>
        </w:rPr>
        <w:t>. Las Faltas administrativas no graves, las Faltas administrativas graves y las de Particulares, serán sancionadas en los términos previstos en los Capítulos I, II, III y IV del Título Cuarto de la Ley General.</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52.</w:t>
      </w:r>
      <w:r w:rsidRPr="001133F6">
        <w:rPr>
          <w:rFonts w:cs="Arial"/>
          <w:sz w:val="22"/>
        </w:rPr>
        <w:t xml:space="preserve"> Las sanciones económicas que se impongan por la comisión de faltas administrativas graves y faltas de particulares, tendrán el carácter de créditos fiscales, serán ejecutadas por la Secretaría de Finanzas del Poder Ejecutivo del Estado de Oaxaca o la Dependencia encargada de las Finanzas públicas de los Municipios, según corresponda, en términos de las disposiciones Fiscales aplicables.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El monto de la sanción económica impuesta, se actualizará, para efectos de su pago, en la forma y términos que establece el Código Fiscal para el Estado de Oaxaca, en tratándose de contribuciones y aprovechamientos.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53.</w:t>
      </w:r>
      <w:r w:rsidRPr="001133F6">
        <w:rPr>
          <w:rFonts w:cs="Arial"/>
          <w:sz w:val="22"/>
        </w:rPr>
        <w:t xml:space="preserve"> La Secretaría de Finanzas del Poder Ejecutivo del Estado de Oaxaca, o la Dependencia encargada de las finanzas públicas de los Municipios según corresponda, procederán al embargo precautorio de los bienes de los servidores públicos o los particulares presuntamente responsables de estar vinculados con una falta administrativa grave, cuando así lo ordene el Tribunal en términos de la Ley General.</w:t>
      </w:r>
    </w:p>
    <w:p w:rsidR="00F023D1" w:rsidRDefault="00F023D1">
      <w:pPr>
        <w:pStyle w:val="Estilo"/>
        <w:rPr>
          <w:rFonts w:cs="Arial"/>
          <w:sz w:val="22"/>
        </w:rPr>
      </w:pPr>
    </w:p>
    <w:p w:rsidR="00757B1B" w:rsidRPr="001133F6" w:rsidRDefault="00757B1B">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LIBRO SEGUNDO</w:t>
      </w:r>
    </w:p>
    <w:p w:rsidR="00F023D1" w:rsidRPr="008F5C13" w:rsidRDefault="00A22FF1" w:rsidP="00501E5B">
      <w:pPr>
        <w:pStyle w:val="Estilo"/>
        <w:jc w:val="center"/>
        <w:rPr>
          <w:rFonts w:cs="Arial"/>
          <w:b/>
          <w:sz w:val="22"/>
        </w:rPr>
      </w:pPr>
      <w:r w:rsidRPr="008F5C13">
        <w:rPr>
          <w:rFonts w:cs="Arial"/>
          <w:b/>
          <w:sz w:val="22"/>
        </w:rPr>
        <w:t>DISPOSICIONES ADJETIVAS</w:t>
      </w:r>
    </w:p>
    <w:p w:rsidR="00F023D1" w:rsidRPr="008F5C13" w:rsidRDefault="00F023D1" w:rsidP="00501E5B">
      <w:pPr>
        <w:pStyle w:val="Estilo"/>
        <w:jc w:val="center"/>
        <w:rPr>
          <w:rFonts w:cs="Arial"/>
          <w:b/>
          <w:sz w:val="22"/>
        </w:rPr>
      </w:pPr>
    </w:p>
    <w:p w:rsidR="00F023D1" w:rsidRPr="008F5C13" w:rsidRDefault="00A22FF1" w:rsidP="00501E5B">
      <w:pPr>
        <w:pStyle w:val="Estilo"/>
        <w:jc w:val="center"/>
        <w:rPr>
          <w:rFonts w:cs="Arial"/>
          <w:b/>
          <w:sz w:val="22"/>
        </w:rPr>
      </w:pPr>
      <w:r w:rsidRPr="008F5C13">
        <w:rPr>
          <w:rFonts w:cs="Arial"/>
          <w:b/>
          <w:sz w:val="22"/>
        </w:rPr>
        <w:t>TÍTULO PRIMERO</w:t>
      </w:r>
    </w:p>
    <w:p w:rsidR="00F023D1" w:rsidRPr="008F5C13" w:rsidRDefault="00A22FF1" w:rsidP="00501E5B">
      <w:pPr>
        <w:pStyle w:val="Estilo"/>
        <w:jc w:val="center"/>
        <w:rPr>
          <w:rFonts w:cs="Arial"/>
          <w:b/>
          <w:sz w:val="22"/>
        </w:rPr>
      </w:pPr>
      <w:r w:rsidRPr="008F5C13">
        <w:rPr>
          <w:rFonts w:cs="Arial"/>
          <w:b/>
          <w:sz w:val="22"/>
        </w:rPr>
        <w:lastRenderedPageBreak/>
        <w:t>DE LA INVESTIGACIÓN Y CALIFICACIÓN DE LAS FALTAS GRAVES Y NO GRAVES</w:t>
      </w:r>
    </w:p>
    <w:p w:rsidR="00F023D1" w:rsidRPr="008F5C13" w:rsidRDefault="00F023D1" w:rsidP="00501E5B">
      <w:pPr>
        <w:pStyle w:val="Estilo"/>
        <w:jc w:val="center"/>
        <w:rPr>
          <w:rFonts w:cs="Arial"/>
          <w:b/>
          <w:sz w:val="22"/>
        </w:rPr>
      </w:pPr>
    </w:p>
    <w:p w:rsidR="00F023D1" w:rsidRPr="008F5C13" w:rsidRDefault="00A22FF1" w:rsidP="00501E5B">
      <w:pPr>
        <w:pStyle w:val="Estilo"/>
        <w:jc w:val="center"/>
        <w:rPr>
          <w:rFonts w:cs="Arial"/>
          <w:b/>
          <w:sz w:val="22"/>
        </w:rPr>
      </w:pPr>
      <w:r w:rsidRPr="008F5C13">
        <w:rPr>
          <w:rFonts w:cs="Arial"/>
          <w:b/>
          <w:sz w:val="22"/>
        </w:rPr>
        <w:t>Capítulo Único</w:t>
      </w:r>
    </w:p>
    <w:p w:rsidR="00F023D1" w:rsidRPr="008F5C13" w:rsidRDefault="00A22FF1" w:rsidP="00501E5B">
      <w:pPr>
        <w:pStyle w:val="Estilo"/>
        <w:jc w:val="center"/>
        <w:rPr>
          <w:rFonts w:cs="Arial"/>
          <w:b/>
          <w:sz w:val="22"/>
        </w:rPr>
      </w:pPr>
      <w:r w:rsidRPr="008F5C13">
        <w:rPr>
          <w:rFonts w:cs="Arial"/>
          <w:b/>
          <w:sz w:val="22"/>
        </w:rPr>
        <w:t>De la investigación y calificación de Faltas Administrativas</w:t>
      </w:r>
    </w:p>
    <w:p w:rsidR="00F023D1" w:rsidRPr="008F5C13" w:rsidRDefault="00F023D1">
      <w:pPr>
        <w:pStyle w:val="Estilo"/>
        <w:rPr>
          <w:rFonts w:cs="Arial"/>
          <w:b/>
          <w:sz w:val="22"/>
        </w:rPr>
      </w:pP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54</w:t>
      </w:r>
      <w:r w:rsidRPr="001133F6">
        <w:rPr>
          <w:rFonts w:cs="Arial"/>
          <w:sz w:val="22"/>
        </w:rPr>
        <w:t>. La Investigación y calificación de las faltas administrativas, se sujetará a los principios, reglas y disposiciones establecidas en los Capítulos I, II y III del Título Primero del Libro Segundo de la Ley General.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Así mismo, la calificación de las faltas administrativas y la abstención de las autoridades substanciadoras o resolutoras, para iniciar el procedimiento de responsabilidad administrativa previsto en la Ley General o de imponer sanciones al servidor público, podrán ser impugnadas mediante el recurso de inconformidad que contempla el Capítulo IV del Título Primero del Libro Segundo de la Ley General.</w:t>
      </w:r>
    </w:p>
    <w:p w:rsidR="00F023D1" w:rsidRPr="001133F6" w:rsidRDefault="00F023D1">
      <w:pPr>
        <w:pStyle w:val="Estilo"/>
        <w:rPr>
          <w:rFonts w:cs="Arial"/>
          <w:sz w:val="22"/>
        </w:rPr>
      </w:pPr>
    </w:p>
    <w:p w:rsidR="00F023D1" w:rsidRPr="001133F6" w:rsidRDefault="00F023D1">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TÍTULO SEGUNDO</w:t>
      </w:r>
    </w:p>
    <w:p w:rsidR="00F023D1" w:rsidRPr="008F5C13" w:rsidRDefault="00A22FF1" w:rsidP="00501E5B">
      <w:pPr>
        <w:pStyle w:val="Estilo"/>
        <w:jc w:val="center"/>
        <w:rPr>
          <w:rFonts w:cs="Arial"/>
          <w:b/>
          <w:sz w:val="22"/>
        </w:rPr>
      </w:pPr>
      <w:r w:rsidRPr="008F5C13">
        <w:rPr>
          <w:rFonts w:cs="Arial"/>
          <w:b/>
          <w:sz w:val="22"/>
        </w:rPr>
        <w:t>DEL PROCEDIMIENTO DE RESPONSABILIDAD ADMINISTRATIVA</w:t>
      </w:r>
    </w:p>
    <w:p w:rsidR="00F023D1" w:rsidRPr="008F5C13" w:rsidRDefault="00F023D1" w:rsidP="00501E5B">
      <w:pPr>
        <w:pStyle w:val="Estilo"/>
        <w:jc w:val="center"/>
        <w:rPr>
          <w:rFonts w:cs="Arial"/>
          <w:b/>
          <w:sz w:val="22"/>
        </w:rPr>
      </w:pPr>
    </w:p>
    <w:p w:rsidR="00F023D1" w:rsidRPr="008F5C13" w:rsidRDefault="00A22FF1" w:rsidP="00501E5B">
      <w:pPr>
        <w:pStyle w:val="Estilo"/>
        <w:jc w:val="center"/>
        <w:rPr>
          <w:rFonts w:cs="Arial"/>
          <w:b/>
          <w:sz w:val="22"/>
        </w:rPr>
      </w:pPr>
      <w:r w:rsidRPr="008F5C13">
        <w:rPr>
          <w:rFonts w:cs="Arial"/>
          <w:b/>
          <w:sz w:val="22"/>
        </w:rPr>
        <w:t>Capítulo I</w:t>
      </w:r>
    </w:p>
    <w:p w:rsidR="00F023D1" w:rsidRPr="008F5C13" w:rsidRDefault="00A22FF1" w:rsidP="00501E5B">
      <w:pPr>
        <w:pStyle w:val="Estilo"/>
        <w:jc w:val="center"/>
        <w:rPr>
          <w:rFonts w:cs="Arial"/>
          <w:b/>
          <w:sz w:val="22"/>
        </w:rPr>
      </w:pPr>
      <w:r w:rsidRPr="008F5C13">
        <w:rPr>
          <w:rFonts w:cs="Arial"/>
          <w:b/>
          <w:sz w:val="22"/>
        </w:rPr>
        <w:t>De las Disposiciones Generales</w:t>
      </w:r>
    </w:p>
    <w:p w:rsidR="00F023D1" w:rsidRPr="008F5C13" w:rsidRDefault="00F023D1" w:rsidP="00501E5B">
      <w:pPr>
        <w:pStyle w:val="Estilo"/>
        <w:jc w:val="center"/>
        <w:rPr>
          <w:rFonts w:cs="Arial"/>
          <w:b/>
          <w:sz w:val="22"/>
        </w:rPr>
      </w:pPr>
    </w:p>
    <w:p w:rsidR="00F023D1" w:rsidRPr="008F5C13" w:rsidRDefault="00A22FF1" w:rsidP="00501E5B">
      <w:pPr>
        <w:pStyle w:val="Estilo"/>
        <w:jc w:val="center"/>
        <w:rPr>
          <w:rFonts w:cs="Arial"/>
          <w:b/>
          <w:sz w:val="22"/>
        </w:rPr>
      </w:pPr>
      <w:r w:rsidRPr="008F5C13">
        <w:rPr>
          <w:rFonts w:cs="Arial"/>
          <w:b/>
          <w:sz w:val="22"/>
        </w:rPr>
        <w:t>Sección Única</w:t>
      </w:r>
    </w:p>
    <w:p w:rsidR="00F023D1" w:rsidRPr="008F5C13" w:rsidRDefault="00A22FF1" w:rsidP="00501E5B">
      <w:pPr>
        <w:pStyle w:val="Estilo"/>
        <w:jc w:val="center"/>
        <w:rPr>
          <w:rFonts w:cs="Arial"/>
          <w:b/>
          <w:sz w:val="22"/>
        </w:rPr>
      </w:pPr>
      <w:r w:rsidRPr="008F5C13">
        <w:rPr>
          <w:rFonts w:cs="Arial"/>
          <w:b/>
          <w:sz w:val="22"/>
        </w:rPr>
        <w:t>Principios, interrupción de la prescripción, partes y autorizaciones</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55.</w:t>
      </w:r>
      <w:r w:rsidRPr="001133F6">
        <w:rPr>
          <w:rFonts w:cs="Arial"/>
          <w:sz w:val="22"/>
        </w:rPr>
        <w:t xml:space="preserve"> Los procedimientos de responsabilidad administrativa derivados de la presunta comisión de faltas administrativas, se desarrollará conforme a los principios, reglas y disposiciones establecidas en los Capítulos I, II y III del Título Segundo del Libro Segundo de la Ley General y demás disposiciones aplicables.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56.</w:t>
      </w:r>
      <w:r w:rsidRPr="001133F6">
        <w:rPr>
          <w:rFonts w:cs="Arial"/>
          <w:sz w:val="22"/>
        </w:rPr>
        <w:t xml:space="preserve"> Las personas autorizadas en términos del artículo 117 de la Ley General, serán responsables de los daños y perjuicios que causen ante el que los autoriza, de acuerdo a las disposiciones civiles aplicables relativas al mandato y las demás conexas.</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57.</w:t>
      </w:r>
      <w:r w:rsidRPr="001133F6">
        <w:rPr>
          <w:rFonts w:cs="Arial"/>
          <w:sz w:val="22"/>
        </w:rPr>
        <w:t xml:space="preserve"> En lo que no se oponga a lo dispuesto en el procedimiento de responsabilidad administrativa previsto por la Ley General, será de aplicación supletoria lo dispuesto en la Ley de Justicia Administrativa para el Estado de Oaxaca y en el Código de Procedimientos Civiles para el Estado de Oaxaca.</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58.</w:t>
      </w:r>
      <w:r w:rsidRPr="001133F6">
        <w:rPr>
          <w:rFonts w:cs="Arial"/>
          <w:sz w:val="22"/>
        </w:rPr>
        <w:t xml:space="preserve"> Las autoridades substanciadoras o resolutoras, podrán hacer uso de los medios de apremio a que se refieren las fracciones I y II del artículo 120 de la Ley General, así como las medidas cautelares, bajo el procedimiento establecido en las Secciones Segunda y Tercera, del Capítulo I, Título Segundo, Libro Segundo del mismo ordenamiento. El auxilio de la fuerza pública podrá solicitarse en cualquier momento.</w:t>
      </w:r>
    </w:p>
    <w:p w:rsidR="00F023D1" w:rsidRPr="008F5C13" w:rsidRDefault="00A22FF1" w:rsidP="00501E5B">
      <w:pPr>
        <w:pStyle w:val="Estilo"/>
        <w:jc w:val="center"/>
        <w:rPr>
          <w:rFonts w:cs="Arial"/>
          <w:b/>
          <w:sz w:val="22"/>
        </w:rPr>
      </w:pPr>
      <w:r w:rsidRPr="008F5C13">
        <w:rPr>
          <w:rFonts w:cs="Arial"/>
          <w:b/>
          <w:sz w:val="22"/>
        </w:rPr>
        <w:t>Capítulo II</w:t>
      </w:r>
    </w:p>
    <w:p w:rsidR="00F023D1" w:rsidRPr="008F5C13" w:rsidRDefault="00A22FF1" w:rsidP="00501E5B">
      <w:pPr>
        <w:pStyle w:val="Estilo"/>
        <w:jc w:val="center"/>
        <w:rPr>
          <w:rFonts w:cs="Arial"/>
          <w:b/>
          <w:sz w:val="22"/>
        </w:rPr>
      </w:pPr>
      <w:r w:rsidRPr="008F5C13">
        <w:rPr>
          <w:rFonts w:cs="Arial"/>
          <w:b/>
          <w:sz w:val="22"/>
        </w:rPr>
        <w:t>De los Recursos</w:t>
      </w:r>
    </w:p>
    <w:p w:rsidR="00F023D1" w:rsidRPr="008F5C13" w:rsidRDefault="00F023D1" w:rsidP="00501E5B">
      <w:pPr>
        <w:pStyle w:val="Estilo"/>
        <w:jc w:val="center"/>
        <w:rPr>
          <w:rFonts w:cs="Arial"/>
          <w:b/>
          <w:sz w:val="22"/>
        </w:rPr>
      </w:pPr>
    </w:p>
    <w:p w:rsidR="00F023D1" w:rsidRPr="008F5C13" w:rsidRDefault="00A22FF1" w:rsidP="00501E5B">
      <w:pPr>
        <w:pStyle w:val="Estilo"/>
        <w:jc w:val="center"/>
        <w:rPr>
          <w:rFonts w:cs="Arial"/>
          <w:b/>
          <w:sz w:val="22"/>
        </w:rPr>
      </w:pPr>
      <w:r w:rsidRPr="008F5C13">
        <w:rPr>
          <w:rFonts w:cs="Arial"/>
          <w:b/>
          <w:sz w:val="22"/>
        </w:rPr>
        <w:t>Sección Primera</w:t>
      </w:r>
    </w:p>
    <w:p w:rsidR="00F023D1" w:rsidRPr="008F5C13" w:rsidRDefault="00A22FF1" w:rsidP="00501E5B">
      <w:pPr>
        <w:pStyle w:val="Estilo"/>
        <w:jc w:val="center"/>
        <w:rPr>
          <w:rFonts w:cs="Arial"/>
          <w:b/>
          <w:sz w:val="22"/>
        </w:rPr>
      </w:pPr>
      <w:r w:rsidRPr="008F5C13">
        <w:rPr>
          <w:rFonts w:cs="Arial"/>
          <w:b/>
          <w:sz w:val="22"/>
        </w:rPr>
        <w:lastRenderedPageBreak/>
        <w:t>Del Recurso de Revocación</w:t>
      </w:r>
    </w:p>
    <w:p w:rsidR="00F023D1" w:rsidRPr="008F5C13" w:rsidRDefault="00F023D1" w:rsidP="00501E5B">
      <w:pPr>
        <w:pStyle w:val="Estilo"/>
        <w:jc w:val="center"/>
        <w:rPr>
          <w:rFonts w:cs="Arial"/>
          <w:b/>
          <w:sz w:val="22"/>
        </w:rPr>
      </w:pPr>
    </w:p>
    <w:p w:rsidR="00F023D1" w:rsidRPr="001133F6" w:rsidRDefault="00A22FF1">
      <w:pPr>
        <w:pStyle w:val="Estilo"/>
        <w:rPr>
          <w:rFonts w:cs="Arial"/>
          <w:sz w:val="22"/>
        </w:rPr>
      </w:pPr>
      <w:r w:rsidRPr="008F5C13">
        <w:rPr>
          <w:rFonts w:cs="Arial"/>
          <w:b/>
          <w:sz w:val="22"/>
        </w:rPr>
        <w:t>Artículo 59.</w:t>
      </w:r>
      <w:r w:rsidRPr="001133F6">
        <w:rPr>
          <w:rFonts w:cs="Arial"/>
          <w:sz w:val="22"/>
        </w:rPr>
        <w:t xml:space="preserve"> Los Servidores Públicos que por resolución de la Secretaría o los Órganos internos de control, resulten responsables por la comisión de faltas administrativas no graves, podrán interponer el recurso de revocación ante la autoridad que emitió la resolución, dentro de los quince días hábiles siguientes a la fecha en que surta efectos la notificación respectiva, en términos del Libro Segundo, Título Segundo, Capítulo III, Sección Primera de la Ley General.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Las resoluciones que se dicten en el recurso de revocación serán impugnables ante el Tribunal en la vía Contencioso Administrativo.</w:t>
      </w:r>
    </w:p>
    <w:p w:rsidR="00F023D1" w:rsidRDefault="00F023D1">
      <w:pPr>
        <w:pStyle w:val="Estilo"/>
        <w:rPr>
          <w:rFonts w:cs="Arial"/>
          <w:sz w:val="22"/>
        </w:rPr>
      </w:pPr>
    </w:p>
    <w:p w:rsidR="00BB521F" w:rsidRPr="001133F6"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Sección Segunda</w:t>
      </w:r>
    </w:p>
    <w:p w:rsidR="00F023D1" w:rsidRPr="008F5C13" w:rsidRDefault="00A22FF1" w:rsidP="00501E5B">
      <w:pPr>
        <w:pStyle w:val="Estilo"/>
        <w:jc w:val="center"/>
        <w:rPr>
          <w:rFonts w:cs="Arial"/>
          <w:b/>
          <w:sz w:val="22"/>
        </w:rPr>
      </w:pPr>
      <w:r w:rsidRPr="008F5C13">
        <w:rPr>
          <w:rFonts w:cs="Arial"/>
          <w:b/>
          <w:sz w:val="22"/>
        </w:rPr>
        <w:t>De la Reclamación</w:t>
      </w:r>
    </w:p>
    <w:p w:rsidR="00F023D1" w:rsidRPr="008F5C13" w:rsidRDefault="00F023D1" w:rsidP="00501E5B">
      <w:pPr>
        <w:pStyle w:val="Estilo"/>
        <w:jc w:val="center"/>
        <w:rPr>
          <w:rFonts w:cs="Arial"/>
          <w:b/>
          <w:sz w:val="22"/>
        </w:rPr>
      </w:pPr>
    </w:p>
    <w:p w:rsidR="00F023D1" w:rsidRPr="001133F6" w:rsidRDefault="00A22FF1">
      <w:pPr>
        <w:pStyle w:val="Estilo"/>
        <w:rPr>
          <w:rFonts w:cs="Arial"/>
          <w:sz w:val="22"/>
        </w:rPr>
      </w:pPr>
      <w:r w:rsidRPr="008F5C13">
        <w:rPr>
          <w:rFonts w:cs="Arial"/>
          <w:b/>
          <w:sz w:val="22"/>
        </w:rPr>
        <w:t>Artículo 60.</w:t>
      </w:r>
      <w:r w:rsidRPr="001133F6">
        <w:rPr>
          <w:rFonts w:cs="Arial"/>
          <w:sz w:val="22"/>
        </w:rPr>
        <w:t xml:space="preserve"> El recurso de reclamación procederá en contra de las resoluciones de las autoridades substanciadoras o resolutoras que admitan, desechen o tengan por no presentado el Informe de Presunta Responsabilidad Administrativa, la contestación a alguna prueba; las que decreten o nieguen el sobreseimiento del procedimiento de responsabilidad administrativa antes del cierre de instrucción; y aquéllas que admitan o rechacen la intervención del tercero interesado.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Para su interposición, trámite y resolución, se estará a lo dispuesto en términos del Libro Segundo, Título Segundo, Capítulo III, Sección Segunda de la Ley General.</w:t>
      </w:r>
    </w:p>
    <w:p w:rsidR="00F023D1" w:rsidRDefault="00F023D1">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Sección Tercera</w:t>
      </w:r>
    </w:p>
    <w:p w:rsidR="00F023D1" w:rsidRPr="008F5C13" w:rsidRDefault="00A22FF1" w:rsidP="00501E5B">
      <w:pPr>
        <w:pStyle w:val="Estilo"/>
        <w:jc w:val="center"/>
        <w:rPr>
          <w:rFonts w:cs="Arial"/>
          <w:b/>
          <w:sz w:val="22"/>
        </w:rPr>
      </w:pPr>
      <w:r w:rsidRPr="008F5C13">
        <w:rPr>
          <w:rFonts w:cs="Arial"/>
          <w:b/>
          <w:sz w:val="22"/>
        </w:rPr>
        <w:t>Del Recurso de Apelación</w:t>
      </w:r>
    </w:p>
    <w:p w:rsidR="00F023D1" w:rsidRPr="008F5C13" w:rsidRDefault="00F023D1" w:rsidP="00501E5B">
      <w:pPr>
        <w:pStyle w:val="Estilo"/>
        <w:jc w:val="center"/>
        <w:rPr>
          <w:rFonts w:cs="Arial"/>
          <w:b/>
          <w:sz w:val="22"/>
        </w:rPr>
      </w:pPr>
    </w:p>
    <w:p w:rsidR="00F023D1" w:rsidRPr="001133F6" w:rsidRDefault="00A22FF1">
      <w:pPr>
        <w:pStyle w:val="Estilo"/>
        <w:rPr>
          <w:rFonts w:cs="Arial"/>
          <w:sz w:val="22"/>
        </w:rPr>
      </w:pPr>
      <w:r w:rsidRPr="008F5C13">
        <w:rPr>
          <w:rFonts w:cs="Arial"/>
          <w:b/>
          <w:sz w:val="22"/>
        </w:rPr>
        <w:t>Artículo 61</w:t>
      </w:r>
      <w:r w:rsidRPr="001133F6">
        <w:rPr>
          <w:rFonts w:cs="Arial"/>
          <w:sz w:val="22"/>
        </w:rPr>
        <w:t>. Las resoluciones emitidas por el Tribunal, en las que se determine imponer sanciones por la comisión de Faltas administrativas graves, o faltas de particulares y en las que resuelva sobre la inexistencia de responsabilidad administrativa por parte de los presuntos infractores, podrán ser impugnadas por los responsables o por terceros, mediante el recurso de apelación que será interpuesto ante la instancia que emitió la resolución y será resuelto por la Sala Superior del mismo Tribunal.</w:t>
      </w:r>
    </w:p>
    <w:p w:rsidR="00F023D1" w:rsidRPr="001133F6" w:rsidRDefault="00F023D1">
      <w:pPr>
        <w:pStyle w:val="Estilo"/>
        <w:rPr>
          <w:rFonts w:cs="Arial"/>
          <w:sz w:val="22"/>
        </w:rPr>
      </w:pPr>
    </w:p>
    <w:p w:rsidR="00F023D1" w:rsidRDefault="00A22FF1">
      <w:pPr>
        <w:pStyle w:val="Estilo"/>
        <w:rPr>
          <w:rFonts w:cs="Arial"/>
          <w:sz w:val="22"/>
        </w:rPr>
      </w:pPr>
      <w:r w:rsidRPr="001133F6">
        <w:rPr>
          <w:rFonts w:cs="Arial"/>
          <w:sz w:val="22"/>
        </w:rPr>
        <w:t>Para su interposición, trámite y resolución, se estará a lo dispuesto en los términos del Libro Segundo, Título Segundo, Capítulo III, Sección Tercera de la Ley General y demás disposiciones legales aplicables.</w:t>
      </w:r>
    </w:p>
    <w:p w:rsidR="00757B1B" w:rsidRDefault="00757B1B">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Sección Cuarta</w:t>
      </w:r>
    </w:p>
    <w:p w:rsidR="00F023D1" w:rsidRPr="008F5C13" w:rsidRDefault="00A22FF1" w:rsidP="00501E5B">
      <w:pPr>
        <w:pStyle w:val="Estilo"/>
        <w:jc w:val="center"/>
        <w:rPr>
          <w:rFonts w:cs="Arial"/>
          <w:b/>
          <w:sz w:val="22"/>
        </w:rPr>
      </w:pPr>
      <w:r w:rsidRPr="008F5C13">
        <w:rPr>
          <w:rFonts w:cs="Arial"/>
          <w:b/>
          <w:sz w:val="22"/>
        </w:rPr>
        <w:t>Del Recurso de Revisión</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62.</w:t>
      </w:r>
      <w:r w:rsidRPr="001133F6">
        <w:rPr>
          <w:rFonts w:cs="Arial"/>
          <w:sz w:val="22"/>
        </w:rPr>
        <w:t xml:space="preserve"> Las resoluciones definitivas que emita el Tribunal podrán ser impugnadas por la Secretaría, los Órganos internos de control de los entes públicos o la Auditoría Superior interponiendo el recurso de revisión, mediante escrito que se presente ante el propio Tribunal, dentro de los diez días hábiles siguientes a aquél en que surta sus efectos la notificación respectiva y se sujetará a lo dispuesto en la Sección Cuarta del Capítulo III del Título Segundo del Libro Segundo de la Ley General.</w:t>
      </w:r>
    </w:p>
    <w:p w:rsidR="00F023D1" w:rsidRDefault="00F023D1">
      <w:pPr>
        <w:pStyle w:val="Estilo"/>
        <w:rPr>
          <w:rFonts w:cs="Arial"/>
          <w:sz w:val="22"/>
        </w:rPr>
      </w:pPr>
    </w:p>
    <w:p w:rsidR="00BB521F" w:rsidRPr="001133F6" w:rsidRDefault="00BB521F">
      <w:pPr>
        <w:pStyle w:val="Estilo"/>
        <w:rPr>
          <w:rFonts w:cs="Arial"/>
          <w:sz w:val="22"/>
        </w:rPr>
      </w:pPr>
    </w:p>
    <w:p w:rsidR="00F023D1" w:rsidRPr="008F5C13" w:rsidRDefault="00A22FF1" w:rsidP="00501E5B">
      <w:pPr>
        <w:pStyle w:val="Estilo"/>
        <w:jc w:val="center"/>
        <w:rPr>
          <w:rFonts w:cs="Arial"/>
          <w:b/>
          <w:sz w:val="22"/>
        </w:rPr>
      </w:pPr>
      <w:r w:rsidRPr="008F5C13">
        <w:rPr>
          <w:rFonts w:cs="Arial"/>
          <w:b/>
          <w:sz w:val="22"/>
        </w:rPr>
        <w:t>Capítulo III</w:t>
      </w:r>
    </w:p>
    <w:p w:rsidR="00F023D1" w:rsidRPr="008F5C13" w:rsidRDefault="00A22FF1" w:rsidP="00501E5B">
      <w:pPr>
        <w:pStyle w:val="Estilo"/>
        <w:jc w:val="center"/>
        <w:rPr>
          <w:rFonts w:cs="Arial"/>
          <w:b/>
          <w:sz w:val="22"/>
        </w:rPr>
      </w:pPr>
      <w:r w:rsidRPr="008F5C13">
        <w:rPr>
          <w:rFonts w:cs="Arial"/>
          <w:b/>
          <w:sz w:val="22"/>
        </w:rPr>
        <w:t>De la Ejecución de Sanciones</w:t>
      </w:r>
    </w:p>
    <w:p w:rsidR="00F023D1" w:rsidRPr="008F5C13" w:rsidRDefault="00F023D1">
      <w:pPr>
        <w:pStyle w:val="Estilo"/>
        <w:rPr>
          <w:rFonts w:cs="Arial"/>
          <w:b/>
          <w:sz w:val="22"/>
        </w:rPr>
      </w:pPr>
    </w:p>
    <w:p w:rsidR="00F023D1" w:rsidRPr="001133F6" w:rsidRDefault="00A22FF1">
      <w:pPr>
        <w:pStyle w:val="Estilo"/>
        <w:rPr>
          <w:rFonts w:cs="Arial"/>
          <w:sz w:val="22"/>
        </w:rPr>
      </w:pPr>
      <w:r w:rsidRPr="008F5C13">
        <w:rPr>
          <w:rFonts w:cs="Arial"/>
          <w:b/>
          <w:sz w:val="22"/>
        </w:rPr>
        <w:t>Artículo 63.</w:t>
      </w:r>
      <w:r w:rsidRPr="001133F6">
        <w:rPr>
          <w:rFonts w:cs="Arial"/>
          <w:sz w:val="22"/>
        </w:rPr>
        <w:t xml:space="preserve"> La ejecución de las sanciones impuestas por la Secretaría, los Órganos internos de Control y el Tribunal, por faltas administrativas no graves, graves y las cometidas por particulares, se llevará a cabo en los términos que establece la Ley General en las Secciones Primera y Segunda, Capítulo IV del Título Segundo, del Libro Segundo.</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64.</w:t>
      </w:r>
      <w:r w:rsidRPr="001133F6">
        <w:rPr>
          <w:rFonts w:cs="Arial"/>
          <w:sz w:val="22"/>
        </w:rPr>
        <w:t xml:space="preserve"> Las sanciones económicas impuestas por el Tribunal constituirán créditos fiscales a favor de la Hacienda Pública del Estado, de los Municipios, o del patrimonio de los Entes Públicos, según corresponda y se harán efectivos mediante el procedimiento administrativo de ejecución, por la Secretaría de Finanzas del Poder Ejecutivo del Estado de Oaxaca o la Dependencia encargada de las finanzas públicas del Municipio, según corresponda, a la que será notificada la resolución emitida por el Tribunal respectivo.</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65.</w:t>
      </w:r>
      <w:r w:rsidRPr="001133F6">
        <w:rPr>
          <w:rFonts w:cs="Arial"/>
          <w:sz w:val="22"/>
        </w:rPr>
        <w:t xml:space="preserve"> Cuando haya causado ejecutoria una sentencia en la que se determine la plena responsabilidad de un Servidor Público por faltas administrativas graves y en la que se haya impuesto una indemnización y/o sanción económica al responsable, el Magistrado, sin que sea necesario que medie petición de parte y sin demora alguna, girará oficio por el que comunicará la sentencia respectiva así como los puntos resolutivos de esta para su cumplimiento en términos de lo dispuesto por la Ley General y dando vista a la Secretaría de Finanzas del Poder Ejecutivo del Estado de Oaxaca o la Dependencia encargada de las finanzas públicas del Municipio, según corresponda, quienes deberán informar al Tribunal dentro del término de diez días, sobre el cumplimiento que den a la sentencia, una vez que se haya cubierto la indemnización y la sanción económica respectiva.</w:t>
      </w:r>
    </w:p>
    <w:p w:rsidR="00F023D1" w:rsidRPr="001133F6" w:rsidRDefault="00F023D1">
      <w:pPr>
        <w:pStyle w:val="Estilo"/>
        <w:rPr>
          <w:rFonts w:cs="Arial"/>
          <w:sz w:val="22"/>
        </w:rPr>
      </w:pPr>
    </w:p>
    <w:p w:rsidR="00F023D1" w:rsidRPr="001133F6" w:rsidRDefault="00A22FF1">
      <w:pPr>
        <w:pStyle w:val="Estilo"/>
        <w:rPr>
          <w:rFonts w:cs="Arial"/>
          <w:sz w:val="22"/>
        </w:rPr>
      </w:pPr>
      <w:r w:rsidRPr="008F5C13">
        <w:rPr>
          <w:rFonts w:cs="Arial"/>
          <w:b/>
          <w:sz w:val="22"/>
        </w:rPr>
        <w:t>Artículo 66.</w:t>
      </w:r>
      <w:r w:rsidRPr="001133F6">
        <w:rPr>
          <w:rFonts w:cs="Arial"/>
          <w:sz w:val="22"/>
        </w:rPr>
        <w:t xml:space="preserve"> Las Sentencias en las que se determine la Comisión de Faltas Administrativas Graves y Faltas de Particulares, deberán publicarse en el Periódico Oficial del Gobierno del Estado de Oaxaca, de conformidad con lo establecido en la Ley General y los demás ordenamientos legales aplicables.</w:t>
      </w:r>
    </w:p>
    <w:p w:rsidR="00F023D1" w:rsidRPr="001133F6" w:rsidRDefault="00F023D1">
      <w:pPr>
        <w:pStyle w:val="Estilo"/>
        <w:rPr>
          <w:rFonts w:cs="Arial"/>
          <w:sz w:val="22"/>
        </w:rPr>
      </w:pPr>
    </w:p>
    <w:p w:rsidR="00F023D1" w:rsidRPr="001133F6" w:rsidRDefault="00F023D1">
      <w:pPr>
        <w:pStyle w:val="Estilo"/>
        <w:rPr>
          <w:rFonts w:cs="Arial"/>
          <w:sz w:val="22"/>
        </w:rPr>
      </w:pPr>
    </w:p>
    <w:p w:rsidR="00F023D1" w:rsidRPr="00501E5B" w:rsidRDefault="00A22FF1" w:rsidP="00501E5B">
      <w:pPr>
        <w:pStyle w:val="Estilo"/>
        <w:jc w:val="center"/>
        <w:rPr>
          <w:rFonts w:cs="Arial"/>
          <w:b/>
          <w:sz w:val="22"/>
        </w:rPr>
      </w:pPr>
      <w:r w:rsidRPr="00501E5B">
        <w:rPr>
          <w:rFonts w:cs="Arial"/>
          <w:b/>
          <w:sz w:val="22"/>
        </w:rPr>
        <w:t>LIBRO TERCERO</w:t>
      </w:r>
    </w:p>
    <w:p w:rsidR="00F023D1" w:rsidRPr="00501E5B" w:rsidRDefault="00A22FF1" w:rsidP="00501E5B">
      <w:pPr>
        <w:pStyle w:val="Estilo"/>
        <w:jc w:val="center"/>
        <w:rPr>
          <w:rFonts w:cs="Arial"/>
          <w:b/>
          <w:sz w:val="22"/>
        </w:rPr>
      </w:pPr>
      <w:r w:rsidRPr="00501E5B">
        <w:rPr>
          <w:rFonts w:cs="Arial"/>
          <w:b/>
          <w:sz w:val="22"/>
        </w:rPr>
        <w:t>DE LAS QUEJAS POR CONDUCTAS QUE NO CONSTITUYEN FALTAS ADMINISTRATIVAS</w:t>
      </w:r>
    </w:p>
    <w:p w:rsidR="00F023D1" w:rsidRPr="00501E5B" w:rsidRDefault="00F023D1" w:rsidP="00501E5B">
      <w:pPr>
        <w:pStyle w:val="Estilo"/>
        <w:jc w:val="center"/>
        <w:rPr>
          <w:rFonts w:cs="Arial"/>
          <w:b/>
          <w:sz w:val="22"/>
        </w:rPr>
      </w:pPr>
    </w:p>
    <w:p w:rsidR="00F023D1" w:rsidRPr="00501E5B" w:rsidRDefault="00A22FF1" w:rsidP="00501E5B">
      <w:pPr>
        <w:pStyle w:val="Estilo"/>
        <w:jc w:val="center"/>
        <w:rPr>
          <w:rFonts w:cs="Arial"/>
          <w:b/>
          <w:sz w:val="22"/>
        </w:rPr>
      </w:pPr>
      <w:r w:rsidRPr="00501E5B">
        <w:rPr>
          <w:rFonts w:cs="Arial"/>
          <w:b/>
          <w:sz w:val="22"/>
        </w:rPr>
        <w:t>TÍTULO ÚNICO</w:t>
      </w:r>
    </w:p>
    <w:p w:rsidR="00F023D1" w:rsidRPr="00501E5B" w:rsidRDefault="00A22FF1" w:rsidP="00501E5B">
      <w:pPr>
        <w:pStyle w:val="Estilo"/>
        <w:jc w:val="center"/>
        <w:rPr>
          <w:rFonts w:cs="Arial"/>
          <w:b/>
          <w:sz w:val="22"/>
        </w:rPr>
      </w:pPr>
      <w:r w:rsidRPr="00501E5B">
        <w:rPr>
          <w:rFonts w:cs="Arial"/>
          <w:b/>
          <w:sz w:val="22"/>
        </w:rPr>
        <w:t>DE LAS DISPOSICIONES PARA LA ATENCIÓN DE QUEJAS</w:t>
      </w:r>
    </w:p>
    <w:p w:rsidR="00F023D1" w:rsidRPr="00501E5B" w:rsidRDefault="00F023D1" w:rsidP="00501E5B">
      <w:pPr>
        <w:pStyle w:val="Estilo"/>
        <w:jc w:val="center"/>
        <w:rPr>
          <w:rFonts w:cs="Arial"/>
          <w:b/>
          <w:sz w:val="22"/>
        </w:rPr>
      </w:pPr>
    </w:p>
    <w:p w:rsidR="00F023D1" w:rsidRPr="00501E5B" w:rsidRDefault="00A22FF1" w:rsidP="00501E5B">
      <w:pPr>
        <w:pStyle w:val="Estilo"/>
        <w:jc w:val="center"/>
        <w:rPr>
          <w:rFonts w:cs="Arial"/>
          <w:b/>
          <w:sz w:val="22"/>
        </w:rPr>
      </w:pPr>
      <w:r w:rsidRPr="00501E5B">
        <w:rPr>
          <w:rFonts w:cs="Arial"/>
          <w:b/>
          <w:sz w:val="22"/>
        </w:rPr>
        <w:t>Capítulo Único</w:t>
      </w:r>
    </w:p>
    <w:p w:rsidR="00F023D1" w:rsidRPr="00501E5B" w:rsidRDefault="00A22FF1" w:rsidP="00501E5B">
      <w:pPr>
        <w:pStyle w:val="Estilo"/>
        <w:jc w:val="center"/>
        <w:rPr>
          <w:rFonts w:cs="Arial"/>
          <w:b/>
          <w:sz w:val="22"/>
        </w:rPr>
      </w:pPr>
      <w:r w:rsidRPr="00501E5B">
        <w:rPr>
          <w:rFonts w:cs="Arial"/>
          <w:b/>
          <w:sz w:val="22"/>
        </w:rPr>
        <w:t>De las Disposiciones Generales</w:t>
      </w:r>
    </w:p>
    <w:p w:rsidR="00F023D1" w:rsidRPr="00501E5B" w:rsidRDefault="00F023D1" w:rsidP="00501E5B">
      <w:pPr>
        <w:pStyle w:val="Estilo"/>
        <w:jc w:val="center"/>
        <w:rPr>
          <w:rFonts w:cs="Arial"/>
          <w:b/>
          <w:sz w:val="22"/>
        </w:rPr>
      </w:pPr>
    </w:p>
    <w:p w:rsidR="00F023D1" w:rsidRPr="001133F6" w:rsidRDefault="00A22FF1">
      <w:pPr>
        <w:pStyle w:val="Estilo"/>
        <w:rPr>
          <w:rFonts w:cs="Arial"/>
          <w:sz w:val="22"/>
        </w:rPr>
      </w:pPr>
      <w:r w:rsidRPr="00501E5B">
        <w:rPr>
          <w:rFonts w:cs="Arial"/>
          <w:b/>
          <w:sz w:val="22"/>
        </w:rPr>
        <w:t>Artículo 67.</w:t>
      </w:r>
      <w:r w:rsidRPr="001133F6">
        <w:rPr>
          <w:rFonts w:cs="Arial"/>
          <w:sz w:val="22"/>
        </w:rPr>
        <w:t xml:space="preserve"> Los Entes Públicos establecerán áreas específicas a las que el público tenga fácil acceso, para que cualquier interesado pueda presentar quejas por conductas de los servidores públicos que se aparten de los principios y directrices que deben regir su actuación en términos de la Ley General.</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lastRenderedPageBreak/>
        <w:t>Tratándose de Dependencias y Entidades de la Administración Pública Estatal, la Secretaría establecerá las normas y procedimientos conforme a los cuales se dará seguimiento a las quejas a las que se refiere el párrafo anterior.</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En todo caso, en aquellas Dependencias y Entidades de la Administración Pública Estatal en las que no exista Órgano Interno de Control, la Secretaría será la encargada de desahogar los procedimientos correspondientes. También conocerá de aquellas quejas que se promuevan en los términos de este Libro, en contra de los titulares de las citadas Dependencias y Entidades, así como de los titulares de sus Órganos Internos de Control y del personal que se encuentra adscrito a este último.</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En los demás entes públicos, serán los Órganos Internos del Control, quienes establezcan las normas y procedimientos señalados en este artículo.</w:t>
      </w:r>
    </w:p>
    <w:p w:rsidR="00F023D1" w:rsidRPr="001133F6" w:rsidRDefault="00F023D1">
      <w:pPr>
        <w:pStyle w:val="Estilo"/>
        <w:rPr>
          <w:rFonts w:cs="Arial"/>
          <w:sz w:val="22"/>
        </w:rPr>
      </w:pPr>
    </w:p>
    <w:p w:rsidR="00F023D1" w:rsidRPr="001133F6" w:rsidRDefault="00A22FF1">
      <w:pPr>
        <w:pStyle w:val="Estilo"/>
        <w:rPr>
          <w:rFonts w:cs="Arial"/>
          <w:sz w:val="22"/>
        </w:rPr>
      </w:pPr>
      <w:r w:rsidRPr="00501E5B">
        <w:rPr>
          <w:rFonts w:cs="Arial"/>
          <w:b/>
          <w:sz w:val="22"/>
        </w:rPr>
        <w:t>Artículo 68.</w:t>
      </w:r>
      <w:r w:rsidRPr="001133F6">
        <w:rPr>
          <w:rFonts w:cs="Arial"/>
          <w:sz w:val="22"/>
        </w:rPr>
        <w:t xml:space="preserve"> En caso de que derivado de las actuaciones que la Secretaría o de los Órganos Internos de Control realicen con motivo de las quejas que se promuevan de conformidad con lo dispuesto en este Libro, se tenga conocimiento de la presunta comisión de una falta administrativa, se dará cuenta de ello a las autoridades competentes para que procedan en términos de la presente Ley, la Ley General y demás disposiciones aplicables.</w:t>
      </w:r>
    </w:p>
    <w:p w:rsidR="00F023D1" w:rsidRPr="001133F6" w:rsidRDefault="00F023D1">
      <w:pPr>
        <w:pStyle w:val="Estilo"/>
        <w:rPr>
          <w:rFonts w:cs="Arial"/>
          <w:sz w:val="22"/>
        </w:rPr>
      </w:pPr>
    </w:p>
    <w:p w:rsidR="00F023D1" w:rsidRPr="001133F6" w:rsidRDefault="00A22FF1" w:rsidP="00501E5B">
      <w:pPr>
        <w:pStyle w:val="Estilo"/>
        <w:jc w:val="center"/>
        <w:rPr>
          <w:rFonts w:cs="Arial"/>
          <w:sz w:val="22"/>
        </w:rPr>
      </w:pPr>
      <w:r w:rsidRPr="00501E5B">
        <w:rPr>
          <w:rFonts w:cs="Arial"/>
          <w:b/>
          <w:sz w:val="22"/>
        </w:rPr>
        <w:t>TRANSITORIOS</w:t>
      </w:r>
      <w:r w:rsidRPr="001133F6">
        <w:rPr>
          <w:rFonts w:cs="Arial"/>
          <w:sz w:val="22"/>
        </w:rPr>
        <w:t>:</w:t>
      </w:r>
    </w:p>
    <w:p w:rsidR="00F023D1" w:rsidRPr="001133F6" w:rsidRDefault="00F023D1">
      <w:pPr>
        <w:pStyle w:val="Estilo"/>
        <w:rPr>
          <w:rFonts w:cs="Arial"/>
          <w:sz w:val="22"/>
        </w:rPr>
      </w:pPr>
    </w:p>
    <w:p w:rsidR="00FC53B8" w:rsidRDefault="00A22FF1">
      <w:pPr>
        <w:pStyle w:val="Estilo"/>
        <w:rPr>
          <w:rFonts w:cs="Arial"/>
          <w:sz w:val="22"/>
        </w:rPr>
      </w:pPr>
      <w:r w:rsidRPr="00501E5B">
        <w:rPr>
          <w:rFonts w:cs="Arial"/>
          <w:b/>
          <w:sz w:val="22"/>
        </w:rPr>
        <w:t>Primero</w:t>
      </w:r>
      <w:r w:rsidRPr="001133F6">
        <w:rPr>
          <w:rFonts w:cs="Arial"/>
          <w:sz w:val="22"/>
        </w:rPr>
        <w:t xml:space="preserve">. </w:t>
      </w:r>
      <w:r w:rsidR="00FC53B8">
        <w:rPr>
          <w:rFonts w:cs="Arial"/>
          <w:sz w:val="22"/>
        </w:rPr>
        <w:t>Publíquese el presente Decreto en el Periódico Oficial del Gobierno del Estado.</w:t>
      </w:r>
    </w:p>
    <w:p w:rsidR="00F023D1" w:rsidRPr="001133F6" w:rsidRDefault="00F023D1">
      <w:pPr>
        <w:pStyle w:val="Estilo"/>
        <w:rPr>
          <w:rFonts w:cs="Arial"/>
          <w:sz w:val="22"/>
        </w:rPr>
      </w:pPr>
    </w:p>
    <w:p w:rsidR="00F023D1" w:rsidRPr="001133F6" w:rsidRDefault="00A22FF1">
      <w:pPr>
        <w:pStyle w:val="Estilo"/>
        <w:rPr>
          <w:rFonts w:cs="Arial"/>
          <w:sz w:val="22"/>
        </w:rPr>
      </w:pPr>
      <w:r w:rsidRPr="00501E5B">
        <w:rPr>
          <w:rFonts w:cs="Arial"/>
          <w:b/>
          <w:sz w:val="22"/>
        </w:rPr>
        <w:t>Segundo</w:t>
      </w:r>
      <w:r w:rsidRPr="001133F6">
        <w:rPr>
          <w:rFonts w:cs="Arial"/>
          <w:sz w:val="22"/>
        </w:rPr>
        <w:t xml:space="preserve">. </w:t>
      </w:r>
      <w:r w:rsidR="00FC53B8">
        <w:rPr>
          <w:rFonts w:cs="Arial"/>
          <w:sz w:val="22"/>
        </w:rPr>
        <w:t>El presente Decreto entrará en vigor al día siguiente de su publicación en el Periódico Oficial del Gobierno del Estado.</w:t>
      </w:r>
    </w:p>
    <w:p w:rsidR="00F023D1" w:rsidRPr="001133F6" w:rsidRDefault="00F023D1">
      <w:pPr>
        <w:pStyle w:val="Estilo"/>
        <w:rPr>
          <w:rFonts w:cs="Arial"/>
          <w:sz w:val="22"/>
        </w:rPr>
      </w:pPr>
    </w:p>
    <w:p w:rsidR="00F023D1" w:rsidRPr="001133F6" w:rsidRDefault="00A22FF1">
      <w:pPr>
        <w:pStyle w:val="Estilo"/>
        <w:rPr>
          <w:rFonts w:cs="Arial"/>
          <w:sz w:val="22"/>
        </w:rPr>
      </w:pPr>
      <w:r w:rsidRPr="00501E5B">
        <w:rPr>
          <w:rFonts w:cs="Arial"/>
          <w:b/>
          <w:sz w:val="22"/>
        </w:rPr>
        <w:t>Tercero</w:t>
      </w:r>
      <w:r w:rsidRPr="001133F6">
        <w:rPr>
          <w:rFonts w:cs="Arial"/>
          <w:sz w:val="22"/>
        </w:rPr>
        <w:t>. Se derogan todas las disposiciones de igual o m</w:t>
      </w:r>
      <w:r w:rsidR="00470FE6">
        <w:rPr>
          <w:rFonts w:cs="Arial"/>
          <w:sz w:val="22"/>
        </w:rPr>
        <w:t>enor jerarquía que se opongan al presente Decreto, aun cuando no estén expresamente derogadas.</w:t>
      </w:r>
    </w:p>
    <w:p w:rsidR="00F023D1" w:rsidRPr="001133F6" w:rsidRDefault="00F023D1">
      <w:pPr>
        <w:pStyle w:val="Estilo"/>
        <w:rPr>
          <w:rFonts w:cs="Arial"/>
          <w:sz w:val="22"/>
        </w:rPr>
      </w:pPr>
    </w:p>
    <w:p w:rsidR="00F023D1" w:rsidRPr="001133F6" w:rsidRDefault="00A22FF1">
      <w:pPr>
        <w:pStyle w:val="Estilo"/>
        <w:rPr>
          <w:rFonts w:cs="Arial"/>
          <w:sz w:val="22"/>
        </w:rPr>
      </w:pPr>
      <w:r w:rsidRPr="00501E5B">
        <w:rPr>
          <w:rFonts w:cs="Arial"/>
          <w:b/>
          <w:sz w:val="22"/>
        </w:rPr>
        <w:t>Cuarto</w:t>
      </w:r>
      <w:r w:rsidRPr="001133F6">
        <w:rPr>
          <w:rFonts w:cs="Arial"/>
          <w:sz w:val="22"/>
        </w:rPr>
        <w:t xml:space="preserve">. </w:t>
      </w:r>
      <w:r w:rsidR="00470FE6">
        <w:rPr>
          <w:rFonts w:cs="Arial"/>
          <w:sz w:val="22"/>
        </w:rPr>
        <w:t>Las declaraciones presentadas ante los Órganos Internos de Control de los Municipios deberán ser remitidas en un plazo no mayor de 30 días al Órgano Interno de Control del H. Congreso del Estado de Oaxaca.</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 xml:space="preserve">"Dado en el Salón de Sesiones del H. Congreso del Estado, San Raymundo Jalpan, Centro, Oaxaca, a </w:t>
      </w:r>
      <w:r w:rsidR="00470FE6">
        <w:rPr>
          <w:rFonts w:cs="Arial"/>
          <w:sz w:val="22"/>
        </w:rPr>
        <w:t>27</w:t>
      </w:r>
      <w:r w:rsidRPr="001133F6">
        <w:rPr>
          <w:rFonts w:cs="Arial"/>
          <w:sz w:val="22"/>
        </w:rPr>
        <w:t xml:space="preserve"> de </w:t>
      </w:r>
      <w:r w:rsidR="00470FE6">
        <w:rPr>
          <w:rFonts w:cs="Arial"/>
          <w:sz w:val="22"/>
        </w:rPr>
        <w:t>febrero de 2019</w:t>
      </w:r>
      <w:r w:rsidRPr="001133F6">
        <w:rPr>
          <w:rFonts w:cs="Arial"/>
          <w:sz w:val="22"/>
        </w:rPr>
        <w:t xml:space="preserve">.- Dip. </w:t>
      </w:r>
      <w:r w:rsidR="00470FE6">
        <w:rPr>
          <w:rFonts w:cs="Arial"/>
          <w:sz w:val="22"/>
        </w:rPr>
        <w:t>César Enrique</w:t>
      </w:r>
      <w:r w:rsidR="00D203F1">
        <w:rPr>
          <w:rFonts w:cs="Arial"/>
          <w:sz w:val="22"/>
        </w:rPr>
        <w:t xml:space="preserve"> Morales Niño</w:t>
      </w:r>
      <w:r w:rsidRPr="001133F6">
        <w:rPr>
          <w:rFonts w:cs="Arial"/>
          <w:sz w:val="22"/>
        </w:rPr>
        <w:t xml:space="preserve">, Presidente. - </w:t>
      </w:r>
      <w:proofErr w:type="spellStart"/>
      <w:r w:rsidRPr="001133F6">
        <w:rPr>
          <w:rFonts w:cs="Arial"/>
          <w:sz w:val="22"/>
        </w:rPr>
        <w:t>Dip</w:t>
      </w:r>
      <w:proofErr w:type="spellEnd"/>
      <w:r w:rsidRPr="001133F6">
        <w:rPr>
          <w:rFonts w:cs="Arial"/>
          <w:sz w:val="22"/>
        </w:rPr>
        <w:t xml:space="preserve">. </w:t>
      </w:r>
      <w:proofErr w:type="spellStart"/>
      <w:r w:rsidR="00054C7D">
        <w:rPr>
          <w:rFonts w:cs="Arial"/>
          <w:sz w:val="22"/>
        </w:rPr>
        <w:t>Yarith</w:t>
      </w:r>
      <w:proofErr w:type="spellEnd"/>
      <w:r w:rsidR="00054C7D">
        <w:rPr>
          <w:rFonts w:cs="Arial"/>
          <w:sz w:val="22"/>
        </w:rPr>
        <w:t xml:space="preserve"> </w:t>
      </w:r>
      <w:proofErr w:type="spellStart"/>
      <w:r w:rsidR="00054C7D">
        <w:rPr>
          <w:rFonts w:cs="Arial"/>
          <w:sz w:val="22"/>
        </w:rPr>
        <w:t>Tannos</w:t>
      </w:r>
      <w:proofErr w:type="spellEnd"/>
      <w:r w:rsidR="00054C7D">
        <w:rPr>
          <w:rFonts w:cs="Arial"/>
          <w:sz w:val="22"/>
        </w:rPr>
        <w:t xml:space="preserve"> Cruz</w:t>
      </w:r>
      <w:r w:rsidRPr="001133F6">
        <w:rPr>
          <w:rFonts w:cs="Arial"/>
          <w:sz w:val="22"/>
        </w:rPr>
        <w:t>, Secr</w:t>
      </w:r>
      <w:r w:rsidR="00054C7D">
        <w:rPr>
          <w:rFonts w:cs="Arial"/>
          <w:sz w:val="22"/>
        </w:rPr>
        <w:t>etaría</w:t>
      </w:r>
      <w:r w:rsidRPr="001133F6">
        <w:rPr>
          <w:rFonts w:cs="Arial"/>
          <w:sz w:val="22"/>
        </w:rPr>
        <w:t xml:space="preserve">. - </w:t>
      </w:r>
      <w:proofErr w:type="spellStart"/>
      <w:r w:rsidRPr="001133F6">
        <w:rPr>
          <w:rFonts w:cs="Arial"/>
          <w:sz w:val="22"/>
        </w:rPr>
        <w:t>Dip</w:t>
      </w:r>
      <w:proofErr w:type="spellEnd"/>
      <w:r w:rsidRPr="001133F6">
        <w:rPr>
          <w:rFonts w:cs="Arial"/>
          <w:sz w:val="22"/>
        </w:rPr>
        <w:t xml:space="preserve">. </w:t>
      </w:r>
      <w:r w:rsidR="00054C7D">
        <w:rPr>
          <w:rFonts w:cs="Arial"/>
          <w:sz w:val="22"/>
        </w:rPr>
        <w:t>Arsenio Lorenzo Mejía García, Secretario</w:t>
      </w:r>
      <w:r w:rsidRPr="001133F6">
        <w:rPr>
          <w:rFonts w:cs="Arial"/>
          <w:sz w:val="22"/>
        </w:rPr>
        <w:t xml:space="preserve"> - </w:t>
      </w:r>
      <w:proofErr w:type="spellStart"/>
      <w:r w:rsidRPr="001133F6">
        <w:rPr>
          <w:rFonts w:cs="Arial"/>
          <w:sz w:val="22"/>
        </w:rPr>
        <w:t>Dip</w:t>
      </w:r>
      <w:proofErr w:type="spellEnd"/>
      <w:r w:rsidRPr="001133F6">
        <w:rPr>
          <w:rFonts w:cs="Arial"/>
          <w:sz w:val="22"/>
        </w:rPr>
        <w:t xml:space="preserve">. </w:t>
      </w:r>
      <w:r w:rsidR="00054C7D">
        <w:rPr>
          <w:rFonts w:cs="Arial"/>
          <w:sz w:val="22"/>
        </w:rPr>
        <w:t>Griselda Sosa Vásquez</w:t>
      </w:r>
      <w:r w:rsidRPr="001133F6">
        <w:rPr>
          <w:rFonts w:cs="Arial"/>
          <w:sz w:val="22"/>
        </w:rPr>
        <w:t>, Secretaría. - Rubricas."</w:t>
      </w:r>
    </w:p>
    <w:p w:rsidR="00F023D1" w:rsidRPr="001133F6" w:rsidRDefault="00F023D1">
      <w:pPr>
        <w:pStyle w:val="Estilo"/>
        <w:rPr>
          <w:rFonts w:cs="Arial"/>
          <w:sz w:val="22"/>
        </w:rPr>
      </w:pPr>
    </w:p>
    <w:p w:rsidR="00F023D1" w:rsidRPr="001133F6" w:rsidRDefault="00A22FF1">
      <w:pPr>
        <w:pStyle w:val="Estilo"/>
        <w:rPr>
          <w:rFonts w:cs="Arial"/>
          <w:sz w:val="22"/>
        </w:rPr>
      </w:pPr>
      <w:r w:rsidRPr="001133F6">
        <w:rPr>
          <w:rFonts w:cs="Arial"/>
          <w:sz w:val="22"/>
        </w:rPr>
        <w:t>Por lo tanto, mando que se imprima, publique, circule y se le dé el debido cumplimiento. Palaci</w:t>
      </w:r>
      <w:r w:rsidR="00054C7D">
        <w:rPr>
          <w:rFonts w:cs="Arial"/>
          <w:sz w:val="22"/>
        </w:rPr>
        <w:t>o de Gobierno, Centro, Oax., a 04 de marzo</w:t>
      </w:r>
      <w:r w:rsidRPr="001133F6">
        <w:rPr>
          <w:rFonts w:cs="Arial"/>
          <w:sz w:val="22"/>
        </w:rPr>
        <w:t xml:space="preserve"> de 2</w:t>
      </w:r>
      <w:r w:rsidR="00054C7D">
        <w:rPr>
          <w:rFonts w:cs="Arial"/>
          <w:sz w:val="22"/>
        </w:rPr>
        <w:t>019</w:t>
      </w:r>
      <w:r w:rsidRPr="001133F6">
        <w:rPr>
          <w:rFonts w:cs="Arial"/>
          <w:sz w:val="22"/>
        </w:rPr>
        <w:t xml:space="preserve">. EL GOBERNADOR CONSTITUCIONAL DEL ESTADO. Mtro. Alejandro Ismael </w:t>
      </w:r>
      <w:proofErr w:type="spellStart"/>
      <w:r w:rsidRPr="001133F6">
        <w:rPr>
          <w:rFonts w:cs="Arial"/>
          <w:sz w:val="22"/>
        </w:rPr>
        <w:t>Murat</w:t>
      </w:r>
      <w:proofErr w:type="spellEnd"/>
      <w:r w:rsidRPr="001133F6">
        <w:rPr>
          <w:rFonts w:cs="Arial"/>
          <w:sz w:val="22"/>
        </w:rPr>
        <w:t xml:space="preserve"> Hinojosa. - Rúbrica. - El Secretario General de Gobierno. Lic. Héctor Anuar </w:t>
      </w:r>
      <w:proofErr w:type="spellStart"/>
      <w:r w:rsidRPr="001133F6">
        <w:rPr>
          <w:rFonts w:cs="Arial"/>
          <w:sz w:val="22"/>
        </w:rPr>
        <w:t>Mafud</w:t>
      </w:r>
      <w:proofErr w:type="spellEnd"/>
      <w:r w:rsidRPr="001133F6">
        <w:rPr>
          <w:rFonts w:cs="Arial"/>
          <w:sz w:val="22"/>
        </w:rPr>
        <w:t xml:space="preserve"> </w:t>
      </w:r>
      <w:proofErr w:type="spellStart"/>
      <w:r w:rsidRPr="001133F6">
        <w:rPr>
          <w:rFonts w:cs="Arial"/>
          <w:sz w:val="22"/>
        </w:rPr>
        <w:t>Mafud</w:t>
      </w:r>
      <w:proofErr w:type="spellEnd"/>
      <w:r w:rsidRPr="001133F6">
        <w:rPr>
          <w:rFonts w:cs="Arial"/>
          <w:sz w:val="22"/>
        </w:rPr>
        <w:t>. - Rúbrica.</w:t>
      </w:r>
    </w:p>
    <w:p w:rsidR="00F023D1" w:rsidRPr="001133F6" w:rsidRDefault="00F023D1">
      <w:pPr>
        <w:pStyle w:val="Estilo"/>
        <w:rPr>
          <w:rFonts w:cs="Arial"/>
          <w:sz w:val="22"/>
        </w:rPr>
      </w:pPr>
    </w:p>
    <w:p w:rsidR="00F023D1" w:rsidRPr="001133F6" w:rsidRDefault="00F023D1">
      <w:pPr>
        <w:pStyle w:val="Estilo"/>
        <w:rPr>
          <w:rFonts w:cs="Arial"/>
          <w:sz w:val="22"/>
        </w:rPr>
      </w:pPr>
    </w:p>
    <w:p w:rsidR="00F023D1" w:rsidRPr="001133F6" w:rsidRDefault="00F023D1">
      <w:pPr>
        <w:pStyle w:val="Estilo"/>
        <w:rPr>
          <w:rFonts w:cs="Arial"/>
          <w:sz w:val="22"/>
        </w:rPr>
      </w:pPr>
    </w:p>
    <w:p w:rsidR="00F023D1" w:rsidRPr="00501E5B" w:rsidRDefault="00757B1B">
      <w:pPr>
        <w:pStyle w:val="Estilo"/>
        <w:rPr>
          <w:rFonts w:cs="Arial"/>
          <w:b/>
          <w:sz w:val="22"/>
        </w:rPr>
      </w:pPr>
      <w:r>
        <w:rPr>
          <w:rFonts w:cs="Arial"/>
          <w:b/>
          <w:sz w:val="22"/>
        </w:rPr>
        <w:t xml:space="preserve">POGE DE FECHA </w:t>
      </w:r>
      <w:r w:rsidR="00054C7D">
        <w:rPr>
          <w:rFonts w:cs="Arial"/>
          <w:b/>
          <w:sz w:val="22"/>
        </w:rPr>
        <w:t>21 DE MARZO DE 2019</w:t>
      </w:r>
      <w:r w:rsidR="00A22FF1" w:rsidRPr="00501E5B">
        <w:rPr>
          <w:rFonts w:cs="Arial"/>
          <w:b/>
          <w:sz w:val="22"/>
        </w:rPr>
        <w:t>.</w:t>
      </w:r>
    </w:p>
    <w:p w:rsidR="00F023D1" w:rsidRPr="001133F6" w:rsidRDefault="00F023D1">
      <w:pPr>
        <w:pStyle w:val="Estilo"/>
        <w:rPr>
          <w:rFonts w:cs="Arial"/>
          <w:sz w:val="22"/>
        </w:rPr>
      </w:pPr>
    </w:p>
    <w:p w:rsidR="00F023D1" w:rsidRPr="001133F6" w:rsidRDefault="00757B1B">
      <w:pPr>
        <w:pStyle w:val="Estilo"/>
        <w:rPr>
          <w:rFonts w:cs="Arial"/>
          <w:sz w:val="22"/>
        </w:rPr>
      </w:pPr>
      <w:r w:rsidRPr="00501E5B">
        <w:rPr>
          <w:rFonts w:cs="Arial"/>
          <w:b/>
          <w:sz w:val="22"/>
        </w:rPr>
        <w:lastRenderedPageBreak/>
        <w:t>ÚNICO</w:t>
      </w:r>
      <w:r w:rsidRPr="001133F6">
        <w:rPr>
          <w:rFonts w:cs="Arial"/>
          <w:sz w:val="22"/>
        </w:rPr>
        <w:t>. -</w:t>
      </w:r>
      <w:r w:rsidR="00A22FF1" w:rsidRPr="001133F6">
        <w:rPr>
          <w:rFonts w:cs="Arial"/>
          <w:sz w:val="22"/>
        </w:rPr>
        <w:t xml:space="preserve"> El presente Decreto entrará en vigor al día siguiente de su publicación en el Periódico Oficial del Gobierno del Estado de Oaxaca.</w:t>
      </w:r>
    </w:p>
    <w:p w:rsidR="00F023D1" w:rsidRPr="001133F6" w:rsidRDefault="00F023D1">
      <w:pPr>
        <w:pStyle w:val="Estilo"/>
        <w:rPr>
          <w:rFonts w:cs="Arial"/>
          <w:sz w:val="22"/>
        </w:rPr>
      </w:pPr>
    </w:p>
    <w:sectPr w:rsidR="00F023D1" w:rsidRPr="001133F6" w:rsidSect="009425A2">
      <w:headerReference w:type="default" r:id="rId7"/>
      <w:footerReference w:type="default" r:id="rId8"/>
      <w:headerReference w:type="first" r:id="rId9"/>
      <w:footerReference w:type="first" r:id="rId10"/>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5B" w:rsidRDefault="00501E5B">
    <w:pPr>
      <w:pStyle w:val="Piedepgina"/>
    </w:pPr>
    <w:r w:rsidRPr="00246532">
      <w:rPr>
        <w:noProof/>
        <w:lang w:eastAsia="es-MX"/>
      </w:rPr>
      <w:drawing>
        <wp:inline distT="0" distB="0" distL="0" distR="0" wp14:anchorId="6DAFFF0A" wp14:editId="13D801F2">
          <wp:extent cx="5612130" cy="1974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974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5B" w:rsidRDefault="00501E5B">
    <w:pPr>
      <w:pStyle w:val="Piedepgina"/>
    </w:pPr>
    <w:r w:rsidRPr="00246532">
      <w:rPr>
        <w:noProof/>
        <w:lang w:eastAsia="es-MX"/>
      </w:rPr>
      <w:drawing>
        <wp:inline distT="0" distB="0" distL="0" distR="0" wp14:anchorId="6DAFFF0A" wp14:editId="13D801F2">
          <wp:extent cx="5612130" cy="1974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97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5B" w:rsidRDefault="00501E5B">
    <w:pPr>
      <w:pStyle w:val="Encabezado"/>
    </w:pPr>
    <w:r>
      <w:rPr>
        <w:noProof/>
        <w:lang w:eastAsia="es-MX"/>
      </w:rPr>
      <w:drawing>
        <wp:anchor distT="0" distB="0" distL="114300" distR="114300" simplePos="0" relativeHeight="251659776" behindDoc="1" locked="0" layoutInCell="1" allowOverlap="1" wp14:anchorId="367AD1EF" wp14:editId="20D47D84">
          <wp:simplePos x="0" y="0"/>
          <wp:positionH relativeFrom="column">
            <wp:posOffset>1666875</wp:posOffset>
          </wp:positionH>
          <wp:positionV relativeFrom="paragraph">
            <wp:posOffset>-288290</wp:posOffset>
          </wp:positionV>
          <wp:extent cx="3950335" cy="8559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E5B" w:rsidRDefault="00501E5B" w:rsidP="00501E5B">
    <w:pPr>
      <w:pStyle w:val="Encabezado"/>
      <w:tabs>
        <w:tab w:val="clear" w:pos="4680"/>
        <w:tab w:val="clear" w:pos="9360"/>
        <w:tab w:val="left" w:pos="1890"/>
      </w:tabs>
    </w:pPr>
    <w:r>
      <w:tab/>
    </w:r>
  </w:p>
  <w:p w:rsidR="00501E5B" w:rsidRDefault="00501E5B" w:rsidP="00501E5B">
    <w:pPr>
      <w:pStyle w:val="Encabezado"/>
      <w:tabs>
        <w:tab w:val="clear" w:pos="4680"/>
        <w:tab w:val="clear" w:pos="9360"/>
        <w:tab w:val="left" w:pos="1890"/>
      </w:tabs>
    </w:pPr>
  </w:p>
  <w:p w:rsidR="00501E5B" w:rsidRDefault="00501E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5B" w:rsidRDefault="00501E5B">
    <w:pPr>
      <w:pStyle w:val="Encabezado"/>
    </w:pPr>
    <w:r>
      <w:rPr>
        <w:noProof/>
        <w:lang w:eastAsia="es-MX"/>
      </w:rPr>
      <w:drawing>
        <wp:anchor distT="0" distB="0" distL="114300" distR="114300" simplePos="0" relativeHeight="251656704" behindDoc="1" locked="0" layoutInCell="1" allowOverlap="1" wp14:anchorId="2420E95C" wp14:editId="1DA53070">
          <wp:simplePos x="0" y="0"/>
          <wp:positionH relativeFrom="column">
            <wp:posOffset>2019300</wp:posOffset>
          </wp:positionH>
          <wp:positionV relativeFrom="paragraph">
            <wp:posOffset>-373380</wp:posOffset>
          </wp:positionV>
          <wp:extent cx="3950335" cy="8559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E5B" w:rsidRDefault="00501E5B">
    <w:pPr>
      <w:pStyle w:val="Encabezado"/>
    </w:pPr>
  </w:p>
  <w:p w:rsidR="00501E5B" w:rsidRDefault="00501E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519C"/>
    <w:rsid w:val="00007BDB"/>
    <w:rsid w:val="00014A98"/>
    <w:rsid w:val="000352C2"/>
    <w:rsid w:val="00054C7D"/>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133F6"/>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9589B"/>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70FE6"/>
    <w:rsid w:val="00480F7D"/>
    <w:rsid w:val="004A1D37"/>
    <w:rsid w:val="004A441D"/>
    <w:rsid w:val="004B2B6F"/>
    <w:rsid w:val="004D171B"/>
    <w:rsid w:val="00501E5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57B1B"/>
    <w:rsid w:val="00777019"/>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8F5C13"/>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22FF1"/>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B521F"/>
    <w:rsid w:val="00BD003F"/>
    <w:rsid w:val="00C01479"/>
    <w:rsid w:val="00C03311"/>
    <w:rsid w:val="00C06B9B"/>
    <w:rsid w:val="00C1718D"/>
    <w:rsid w:val="00C23447"/>
    <w:rsid w:val="00C25890"/>
    <w:rsid w:val="00C41730"/>
    <w:rsid w:val="00C531D0"/>
    <w:rsid w:val="00C56943"/>
    <w:rsid w:val="00C70D54"/>
    <w:rsid w:val="00C71A24"/>
    <w:rsid w:val="00C942C0"/>
    <w:rsid w:val="00CC41D2"/>
    <w:rsid w:val="00CE2C76"/>
    <w:rsid w:val="00D01515"/>
    <w:rsid w:val="00D1179B"/>
    <w:rsid w:val="00D11F99"/>
    <w:rsid w:val="00D165DE"/>
    <w:rsid w:val="00D203F1"/>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023D1"/>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C53B8"/>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4959-10A7-49B4-AD8F-2DB0BBFD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8351</Words>
  <Characters>45932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2019-06-13T18:31:00Z</dcterms:created>
  <dcterms:modified xsi:type="dcterms:W3CDTF">2019-06-13T20:30:00Z</dcterms:modified>
</cp:coreProperties>
</file>