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125C00A" w14:textId="7974C1E9" w:rsidR="00207854" w:rsidRPr="003F57AA" w:rsidRDefault="00F154C0" w:rsidP="003F57AA">
      <w:pPr>
        <w:tabs>
          <w:tab w:val="left" w:pos="216"/>
        </w:tabs>
        <w:spacing w:after="0" w:line="240" w:lineRule="auto"/>
        <w:ind w:left="70"/>
        <w:jc w:val="center"/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</w:pP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  <w:t>Tabla de Aplicabilidad I</w:t>
      </w:r>
      <w:r w:rsidR="003B692A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  <w:t>ntegra</w:t>
      </w:r>
      <w:r w:rsidR="001B30F4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  <w:t>l</w:t>
      </w:r>
      <w:r w:rsidR="002C5F74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  <w:t xml:space="preserve"> Modelo </w:t>
      </w:r>
      <w:r w:rsidR="00B95D1A" w:rsidRPr="003F57AA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 xml:space="preserve">Aplicable a los Sujetos Obligados </w:t>
      </w:r>
      <w:r w:rsidR="005D0885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>Fideicomisos</w:t>
      </w:r>
      <w:r w:rsidR="000D4372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 xml:space="preserve"> </w:t>
      </w:r>
      <w:r w:rsidR="00B95D1A" w:rsidRPr="003F57AA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>del Estado de Oaxaca.</w:t>
      </w:r>
    </w:p>
    <w:p w14:paraId="4C39BD1E" w14:textId="77777777" w:rsidR="00B95D1A" w:rsidRPr="003F57AA" w:rsidRDefault="00B95D1A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lang w:eastAsia="es-MX"/>
        </w:rPr>
      </w:pPr>
    </w:p>
    <w:p w14:paraId="6045199F" w14:textId="646401FF" w:rsidR="00207854" w:rsidRPr="003F57AA" w:rsidRDefault="00207854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</w:pP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O</w:t>
      </w:r>
      <w:r w:rsidR="000E0289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bliga</w:t>
      </w: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ciones de transparencia comunes, específicas establecidas en la Ley General de Transparencia y Acceso a la Información Pública (LGT) y la Ley de Transparencia</w:t>
      </w:r>
      <w:r w:rsid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, </w:t>
      </w: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Acceso a la Información Pública</w:t>
      </w:r>
      <w:r w:rsid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  con  Sentido Social y</w:t>
      </w: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 </w:t>
      </w:r>
      <w:r w:rsid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Buen Gobierno del </w:t>
      </w: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 Estado de</w:t>
      </w:r>
      <w:r w:rsidR="004A7D6C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 Oaxaca (Ley Local)</w:t>
      </w:r>
      <w:r w:rsid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.</w:t>
      </w:r>
    </w:p>
    <w:p w14:paraId="55F4C85F" w14:textId="77777777" w:rsidR="00207854" w:rsidRPr="003F57AA" w:rsidRDefault="00207854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</w:pPr>
    </w:p>
    <w:p w14:paraId="2AB7B5A9" w14:textId="50962B4D" w:rsidR="00297A36" w:rsidRDefault="00297A36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color w:val="4F6228" w:themeColor="accent3" w:themeShade="80"/>
          <w:sz w:val="32"/>
          <w:lang w:eastAsia="es-MX"/>
        </w:rPr>
      </w:pP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lang w:eastAsia="es-MX"/>
        </w:rPr>
        <w:t xml:space="preserve">Sujeto obligado: </w:t>
      </w:r>
      <w:r w:rsidR="00D159D6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lang w:eastAsia="es-MX"/>
        </w:rPr>
        <w:t xml:space="preserve"> Fideicomiso</w:t>
      </w:r>
      <w:r w:rsidR="00B95D1A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lang w:eastAsia="es-MX"/>
        </w:rPr>
        <w:t>…</w:t>
      </w:r>
    </w:p>
    <w:p w14:paraId="64C0E35E" w14:textId="77777777" w:rsidR="00F23114" w:rsidRPr="00861EF6" w:rsidRDefault="00F23114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sz w:val="18"/>
          <w:lang w:eastAsia="es-MX"/>
        </w:rPr>
      </w:pPr>
    </w:p>
    <w:tbl>
      <w:tblPr>
        <w:tblW w:w="133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685"/>
        <w:gridCol w:w="1766"/>
        <w:gridCol w:w="2693"/>
        <w:gridCol w:w="3402"/>
      </w:tblGrid>
      <w:tr w:rsidR="003D6CC7" w:rsidRPr="004B5A2D" w14:paraId="5D674A7A" w14:textId="77777777" w:rsidTr="0038113B">
        <w:trPr>
          <w:trHeight w:val="907"/>
          <w:tblHeader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6DF7838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LEY / ARTÍCULO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613EBD6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PÁRRAFO / FRACCIÓN / INCISO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4B555F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APLICA / NO 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616F52E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MOTIVACIÓN Y FUNDAMENTACIÓN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9C8AD1D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UNIDAD ADMINISTRATIVA RESPONSABLE DE GENERAR LA INFORMACIÓN</w:t>
            </w:r>
          </w:p>
        </w:tc>
      </w:tr>
      <w:tr w:rsidR="003D6CC7" w:rsidRPr="00B95D1A" w14:paraId="5C0F4C1B" w14:textId="77777777" w:rsidTr="0038113B">
        <w:trPr>
          <w:trHeight w:val="76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0F79" w14:textId="77777777" w:rsidR="003D6CC7" w:rsidRPr="004B5A2D" w:rsidRDefault="003D6CC7" w:rsidP="000612A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63DB7709" w14:textId="77777777" w:rsidR="003D6CC7" w:rsidRPr="004B5A2D" w:rsidRDefault="003D6CC7" w:rsidP="000612A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4660A705" w14:textId="2FE34E91" w:rsidR="003D6CC7" w:rsidRPr="004B5A2D" w:rsidRDefault="003D6CC7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65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br/>
            </w:r>
            <w:r w:rsidRPr="003D6CC7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Los sujetos obligados pondrán a disposición del público y mantendrán actualizada, en los respectivos medios electrónicos, de acuerdo con sus facultades, atribuciones, funciones u objeto social, según corresponda, la información, por lo menos, de los temas, documentos y políticas que a continuación se señalan: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/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41B5" w14:textId="0CA0642D" w:rsidR="003D6CC7" w:rsidRPr="004B5A2D" w:rsidRDefault="00E92E70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>
              <w:rPr>
                <w:rFonts w:ascii="Candara" w:eastAsia="Times New Roman" w:hAnsi="Candara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Fracción I </w:t>
            </w:r>
            <w:r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El marco normativo aplicable al sujeto obligado, en el que deberá incluirse leyes, códigos, reglamentos, decretos de creación, manuales administrativos, reglas de operación, criterios, políticas, entre otros;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8177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7B5C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E5D0E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D6CC7" w:rsidRPr="00B95D1A" w14:paraId="1FAE8AD6" w14:textId="77777777" w:rsidTr="0038113B">
        <w:trPr>
          <w:trHeight w:val="2025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9188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9707" w14:textId="3609B7E2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II 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Su estructura orgánica completa, en un formato que permita vincular cada parte de la estructura, las atribuciones y responsabilidades que le corresponden a cada</w:t>
            </w:r>
            <w:r w:rsidR="00E92E70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 persona 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servidora públic</w:t>
            </w:r>
            <w:r w:rsidR="00E92E70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a y/o persona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 prestador</w:t>
            </w:r>
            <w:r w:rsidR="00E92E70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a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 de servicios profesionales</w:t>
            </w:r>
            <w:r w:rsidR="00E92E70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miembro de los sujetos obligados, de conformidad con las disposiciones aplicables;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DED5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4B73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84BD9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D6CC7" w:rsidRPr="00B95D1A" w14:paraId="227531B9" w14:textId="77777777" w:rsidTr="0038113B">
        <w:trPr>
          <w:trHeight w:val="510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F169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0F6D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III 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Las facultades de cada Área;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B0F9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1B46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B059A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D6CC7" w:rsidRPr="00B95D1A" w14:paraId="40F7BD2A" w14:textId="77777777" w:rsidTr="0038113B">
        <w:trPr>
          <w:trHeight w:val="92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4A8C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326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IV 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Las metas y objetivos de las Áreas de conformidad con sus programas operativos;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1BAE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91A5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1997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D6CC7" w:rsidRPr="00B95D1A" w14:paraId="1E9D7DFD" w14:textId="77777777" w:rsidTr="0038113B">
        <w:trPr>
          <w:trHeight w:val="123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554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15E3" w14:textId="7C62EE2D" w:rsidR="003D6CC7" w:rsidRPr="004B5A2D" w:rsidRDefault="00E92E70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V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indicadores relacionados con temas de interés público o trascendencia social que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,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conforme a sus funciones, deban establecer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así como los que permitan rendir cuenta de sus objetivos y resultados;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6E5F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023C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9BD3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92E70" w:rsidRPr="00B95D1A" w14:paraId="789FD9EB" w14:textId="77777777" w:rsidTr="0038113B">
        <w:trPr>
          <w:trHeight w:val="702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075D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0A3" w14:textId="24618B15" w:rsidR="00E92E70" w:rsidRPr="00FB1ED5" w:rsidRDefault="00E92E70" w:rsidP="00E92E70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FB1ED5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VI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directorio de tod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as las personas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ervidor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úblic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a partir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del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nivel de jef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de departamento o su equivalente, o de menor nivel, cuando se brinde atención al público; manejen o apliquen recursos públicos; realicen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lastRenderedPageBreak/>
              <w:t>actos de autoridad o presten servicios profesionales bajo el régimen de confianza u honorarios y personal de base. El directorio deberá incluir, al menos el nombre, cargo o nombramiento asignado, nivel del puesto en la estructura orgánica, fecha de alta en el cargo, número telefónico, domicilio para recibir correspondencia y dirección de correo electrónico oficiales;</w:t>
            </w:r>
          </w:p>
          <w:p w14:paraId="11E233F5" w14:textId="54192BF4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082F" w14:textId="77777777" w:rsidR="00E92E70" w:rsidRPr="004B5A2D" w:rsidRDefault="00E92E7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lastRenderedPageBreak/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C62B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4A52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92E70" w:rsidRPr="00B95D1A" w14:paraId="7D6ED70E" w14:textId="77777777" w:rsidTr="0038113B">
        <w:trPr>
          <w:trHeight w:val="157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19FA" w14:textId="77777777" w:rsidR="000612AE" w:rsidRDefault="00E92E70" w:rsidP="000612A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</w:t>
            </w:r>
            <w:r w:rsidR="000612A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65</w:t>
            </w:r>
          </w:p>
          <w:p w14:paraId="27780887" w14:textId="59F366EF" w:rsidR="00E92E70" w:rsidRPr="004B5A2D" w:rsidRDefault="00E92E70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ED95" w14:textId="77777777" w:rsidR="00E92E70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VII </w:t>
            </w:r>
            <w:r w:rsidR="000612AE" w:rsidRPr="000612AE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 remuneración bruta y neta de todas las personas servidoras públicas de base o de confianza, de todas las percepciones, incluyendo sueldos, prestaciones, gratificaciones, primas, comisiones, dietas, bonos, estímulos, ingresos y sistemas de compensación, señalando la periodicidad de dicha remuneración;</w:t>
            </w:r>
          </w:p>
          <w:p w14:paraId="42EBFC22" w14:textId="7EEAA326" w:rsidR="0098434F" w:rsidRPr="004B5A2D" w:rsidRDefault="0098434F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7D10" w14:textId="77777777" w:rsidR="00E92E70" w:rsidRPr="004B5A2D" w:rsidRDefault="00E92E7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D169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9A0F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B95D1A" w14:paraId="1AD94E17" w14:textId="77777777" w:rsidTr="0038113B">
        <w:trPr>
          <w:trHeight w:val="24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28FA" w14:textId="784267F3" w:rsidR="000612AE" w:rsidRPr="004B5A2D" w:rsidRDefault="000612AE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01605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34C7" w14:textId="77777777" w:rsidR="000612AE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VIII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gastos de representación y viáticos, así como el objeto e informe de comisión correspondiente;</w:t>
            </w:r>
          </w:p>
          <w:p w14:paraId="6559C015" w14:textId="35841B83" w:rsidR="0098434F" w:rsidRPr="004B5A2D" w:rsidRDefault="0098434F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C77C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C26D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6BC65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4B5A2D" w14:paraId="0E11F0F9" w14:textId="77777777" w:rsidTr="0038113B">
        <w:trPr>
          <w:trHeight w:val="64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B7E" w14:textId="19286D9C" w:rsidR="000612AE" w:rsidRPr="004B5A2D" w:rsidRDefault="000612AE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01605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A8D6" w14:textId="77777777" w:rsidR="000612AE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IX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número total de las plazas y del personal de base y confianza, especificando el total de las vacantes, por nivel de puesto, para cada unidad administrativa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;</w:t>
            </w:r>
          </w:p>
          <w:p w14:paraId="0D153106" w14:textId="76957501" w:rsidR="0098434F" w:rsidRPr="004B5A2D" w:rsidRDefault="0098434F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7B44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8923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EEB7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B95D1A" w14:paraId="7B260B79" w14:textId="77777777" w:rsidTr="0038113B">
        <w:trPr>
          <w:trHeight w:val="101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385A" w14:textId="3E427DA4" w:rsidR="000612AE" w:rsidRPr="004B5A2D" w:rsidRDefault="000612AE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01605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32DD" w14:textId="77777777" w:rsidR="000612AE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 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</w:r>
            <w:r w:rsidRPr="000B288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contrataciones de servicios profesionales por honorarios, señalando los nombres de 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0B288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personas </w:t>
            </w:r>
            <w:r w:rsidRPr="000B288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prestadoras de servicios, los servicios contratados, el monto de los honorarios y el periodo de contratación;</w:t>
            </w:r>
          </w:p>
          <w:p w14:paraId="43BCC1DE" w14:textId="20781527" w:rsidR="0098434F" w:rsidRPr="004B5A2D" w:rsidRDefault="0098434F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2E13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733B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B8097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B95D1A" w14:paraId="71C30669" w14:textId="77777777" w:rsidTr="0038113B">
        <w:trPr>
          <w:trHeight w:val="112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0BCD" w14:textId="4BEBCC24" w:rsidR="000612AE" w:rsidRPr="004B5A2D" w:rsidRDefault="000612AE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74374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C05A" w14:textId="77777777" w:rsidR="000612AE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 Versión Pública de las declaraciones patrimoniales de 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as personas 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ervidor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úblic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 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en términos de las disposiciones jurídicas aplicables,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en los sistemas habilitados para ello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  <w:p w14:paraId="0D38B894" w14:textId="033C1CE2" w:rsidR="0098434F" w:rsidRPr="004B5A2D" w:rsidRDefault="0098434F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B80B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5344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264D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B95D1A" w14:paraId="194A6475" w14:textId="77777777" w:rsidTr="0038113B">
        <w:trPr>
          <w:trHeight w:val="114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CCE6" w14:textId="0AEC24BF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74374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7CFA" w14:textId="2B63827C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XII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domicilio de la Unidad de Transparencia, además de la dirección electrónica donde podrán recibirse las solicitudes para obtener la información;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7276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0B96" w14:textId="334789C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307D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0E5C141E" w14:textId="77777777" w:rsidTr="0038113B">
        <w:trPr>
          <w:trHeight w:val="9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95F9" w14:textId="02A72ACC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66080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E28D" w14:textId="59AA0399" w:rsidR="00A25056" w:rsidRPr="000C3B6A" w:rsidRDefault="00A25056" w:rsidP="00A2505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Fracción</w:t>
            </w:r>
            <w:r w:rsidRPr="000C3B6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XI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II</w:t>
            </w:r>
            <w:r w:rsidRPr="000C3B6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convocatorias a concursos para ocupar cargos públicos y los resultados de los mismos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en los sistemas habilitados para ello, de conformidad con las disposiciones jurídicas aplicables;</w:t>
            </w:r>
          </w:p>
          <w:p w14:paraId="56125782" w14:textId="5F1DCFE1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FF34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33B9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2524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iCs/>
                <w:noProof/>
                <w:sz w:val="18"/>
                <w:lang w:eastAsia="es-MX"/>
              </w:rPr>
              <w:t>Unidad de Transparencia</w:t>
            </w:r>
          </w:p>
        </w:tc>
      </w:tr>
      <w:tr w:rsidR="00A25056" w:rsidRPr="004B5A2D" w14:paraId="4D8C15A6" w14:textId="77777777" w:rsidTr="0038113B">
        <w:trPr>
          <w:trHeight w:val="70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7BD7" w14:textId="3B3E9876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66080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E91C" w14:textId="21CCDF05" w:rsidR="00A25056" w:rsidRPr="00A25056" w:rsidRDefault="00A25056" w:rsidP="00A2505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XIV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os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programas de subsidios, estímulos y apoyos, en el que se deberá informar respecto de los programas de transferencia, de servicios, de infraestructura social y de subsidio, en los que se deberá contener lo siguiente: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br w:type="page"/>
              <w:t>...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9057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4A27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66E6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6B2E6A71" w14:textId="77777777" w:rsidTr="0038113B">
        <w:trPr>
          <w:trHeight w:val="120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5E12" w14:textId="1DDB67CD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66080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6E80" w14:textId="3680233A" w:rsidR="00A25056" w:rsidRPr="000C3B6A" w:rsidRDefault="00A25056" w:rsidP="00A2505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Fracción XV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</w:r>
            <w:r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condiciones generales de trabajo, contratos o convenios que regulen las relaciones laborales del personal de base o de confianza, así como los recursos públicos económicos, en especie o donativos, que sean entregados a los sindicatos y ejerzan como recursos públicos;</w:t>
            </w:r>
          </w:p>
          <w:p w14:paraId="0B508713" w14:textId="3959072E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8FA9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233B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6A4C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52A5269F" w14:textId="77777777" w:rsidTr="0038113B">
        <w:trPr>
          <w:trHeight w:val="158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50CF" w14:textId="467DA93F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C318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0B5C" w14:textId="2F1313A3" w:rsidR="00A25056" w:rsidRPr="00A25056" w:rsidRDefault="00A25056" w:rsidP="00A2505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XVI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La información curricular, desde el nivel de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jefatura de departamento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o equivalente, hasta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 titularidad del sujeto obligado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B37F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845" w14:textId="424E5936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  <w:p w14:paraId="5A74CD8B" w14:textId="74D546ED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E3B6A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78093CC1" w14:textId="77777777" w:rsidTr="0038113B">
        <w:trPr>
          <w:trHeight w:val="125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7CCD" w14:textId="76532840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C318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F09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Fracción XVII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  <w:t xml:space="preserve">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listado de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personas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ervidor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úblic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 con sanciones administrativas 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firmes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especificando la causa de sanción y la disposición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de conformidad a lo establecido en las disposiciones jurídicas aplicables;</w:t>
            </w:r>
          </w:p>
          <w:p w14:paraId="140B928D" w14:textId="33DC03A8" w:rsidR="0098434F" w:rsidRPr="004B5A2D" w:rsidRDefault="0098434F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E90B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F8DA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A355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26427202" w14:textId="77777777" w:rsidTr="0038113B">
        <w:trPr>
          <w:trHeight w:val="97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A5D0" w14:textId="6CA44418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C318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CD0C" w14:textId="2F540BD6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XVIII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</w:t>
            </w:r>
            <w:r w:rsidRPr="008678A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os servicios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y trámites </w:t>
            </w:r>
            <w:r w:rsidRPr="008678A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que ofrecen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incluyendo sus </w:t>
            </w:r>
            <w:r w:rsidRPr="008678A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requisitos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en los sistemas habilitados</w:t>
            </w:r>
            <w:r w:rsidRPr="008678A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para ello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de conformidad con las disposiciones jurídicas aplicables;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E67B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BB19" w14:textId="60B5F940" w:rsidR="00A25056" w:rsidRPr="004B5A2D" w:rsidRDefault="00EA1F6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  <w:r w:rsidRPr="005D0885">
              <w:rPr>
                <w:rFonts w:ascii="Candara" w:eastAsia="Times New Roman" w:hAnsi="Candara" w:cs="Times New Roman"/>
                <w:iCs/>
                <w:noProof/>
                <w:sz w:val="18"/>
                <w:lang w:eastAsia="es-MX"/>
              </w:rPr>
              <w:t xml:space="preserve">Además de las unidades administrativas del sujeto obligado que publican y actualizan la información de este formato, se debe contemplar a la Unidad de Transparencia por los trámites que realiza en el procedimiento de acceso a la </w:t>
            </w:r>
            <w:r w:rsidRPr="005D0885">
              <w:rPr>
                <w:rFonts w:ascii="Candara" w:eastAsia="Times New Roman" w:hAnsi="Candara" w:cs="Times New Roman"/>
                <w:iCs/>
                <w:noProof/>
                <w:sz w:val="18"/>
                <w:lang w:eastAsia="es-MX"/>
              </w:rPr>
              <w:lastRenderedPageBreak/>
              <w:t>información y para la protección de datos personales.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93AF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4B78398D" w14:textId="77777777" w:rsidTr="0038113B">
        <w:trPr>
          <w:trHeight w:val="5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730B" w14:textId="1980F0AA" w:rsidR="00A25056" w:rsidRPr="004B5A2D" w:rsidRDefault="00AC6949" w:rsidP="00EA1F6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C318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BD9D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XIX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La información financiera sobre el presupuesto asignado, así como los informes del ejercicio trimestral del gasto, en términos de la Ley General de Contabilidad Gubernamental y demás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disposiciones jurídicas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aplicable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  <w:p w14:paraId="04764F4E" w14:textId="7D9E9F49" w:rsidR="0098434F" w:rsidRPr="004B5A2D" w:rsidRDefault="0098434F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22CD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E68A" w14:textId="4027FB25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34B2" w14:textId="4BDDBE01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A1F66" w:rsidRPr="00B95D1A" w14:paraId="587E622D" w14:textId="77777777" w:rsidTr="0038113B">
        <w:trPr>
          <w:trHeight w:val="46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499" w14:textId="4EA4160D" w:rsidR="00EA1F66" w:rsidRPr="004B5A2D" w:rsidRDefault="00EA1F66" w:rsidP="00EA1F6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5526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B791" w14:textId="1581AC54" w:rsidR="00EA1F66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 información relativa a la deuda pública, en términos de la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disposiciones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aplicables;</w:t>
            </w:r>
          </w:p>
          <w:p w14:paraId="2ABCC817" w14:textId="77777777" w:rsidR="00A21777" w:rsidRDefault="00A21777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</w:p>
          <w:p w14:paraId="0A6B5B46" w14:textId="5FE400E2" w:rsidR="0098434F" w:rsidRPr="004B5A2D" w:rsidRDefault="0098434F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502A" w14:textId="77777777" w:rsidR="00EA1F66" w:rsidRPr="004B5A2D" w:rsidRDefault="00EA1F6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3CE4" w14:textId="0CB7A73E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C44E" w14:textId="3293CA56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A1F66" w:rsidRPr="00B95D1A" w14:paraId="5C5353B7" w14:textId="77777777" w:rsidTr="0038113B">
        <w:trPr>
          <w:trHeight w:val="10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357D" w14:textId="6CE0FEDF" w:rsidR="00EA1F66" w:rsidRPr="004B5A2D" w:rsidRDefault="00EA1F66" w:rsidP="00EA1F6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5526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A76B" w14:textId="31F34C8C" w:rsidR="00EA1F66" w:rsidRPr="00EA1F66" w:rsidRDefault="00EA1F66" w:rsidP="00EA1F6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 </w:t>
            </w:r>
            <w:r w:rsidRPr="00EA1F66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montos destinados a gastos relativos a comunicación social y publicidad oficial que permita identificar el tipo de medio, proveedores, número de contrato y concepto o campaña;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97C0" w14:textId="77777777" w:rsidR="00EA1F66" w:rsidRPr="004B5A2D" w:rsidRDefault="00EA1F6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7F76" w14:textId="77777777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9C1F" w14:textId="77777777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A1F66" w:rsidRPr="00B95D1A" w14:paraId="31C6B198" w14:textId="77777777" w:rsidTr="0038113B">
        <w:trPr>
          <w:trHeight w:val="68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7B09" w14:textId="79043C85" w:rsidR="00EA1F66" w:rsidRPr="004B5A2D" w:rsidRDefault="00EA1F66" w:rsidP="00EA1F6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5526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D4A4" w14:textId="77777777" w:rsidR="00EA1F66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informes de resultados de la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auditorías al ejercicio presupuestal de cada sujeto obligado que se realicen y, en su caso, las aclaraciones que correspondan;</w:t>
            </w:r>
          </w:p>
          <w:p w14:paraId="63DFBCCB" w14:textId="08490ADF" w:rsidR="0098434F" w:rsidRPr="004B5A2D" w:rsidRDefault="0098434F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9E40" w14:textId="77777777" w:rsidR="00EA1F66" w:rsidRPr="004B5A2D" w:rsidRDefault="00EA1F6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C34F" w14:textId="77777777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812B" w14:textId="77777777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</w:tr>
      <w:tr w:rsidR="003513F0" w:rsidRPr="00B95D1A" w14:paraId="15D7DD25" w14:textId="77777777" w:rsidTr="0038113B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EFEF" w14:textId="73AA6E8C" w:rsidR="003513F0" w:rsidRPr="004B5A2D" w:rsidRDefault="003513F0" w:rsidP="003513F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72F6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63E4" w14:textId="1A8991A3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XXIII </w:t>
            </w:r>
            <w:r w:rsidRPr="00123623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resultado de la dictaminación de los estados financieros;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E0EB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6EF7" w14:textId="686A0B34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ABA2C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513F0" w:rsidRPr="00B95D1A" w14:paraId="00B0E258" w14:textId="77777777" w:rsidTr="0038113B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9974" w14:textId="350F22D3" w:rsidR="003513F0" w:rsidRPr="004B5A2D" w:rsidRDefault="003513F0" w:rsidP="003513F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72F6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B5C9" w14:textId="379D0DFD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XXIV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montos, criterios, convocatorias y listado de personas físicas o morales a quienes, por cualquier motivo, se les asigne o permita usar recursos públicos o,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en los términos de las disposiciones aplicables, realicen actos de autoridad. Asimismo, los informes que dichas personas les entreguen sobre el uso y destino de dichos recursos;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8DCE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CAA3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AEE5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03C1D5AF" w14:textId="77777777" w:rsidTr="0038113B">
        <w:trPr>
          <w:trHeight w:val="71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E8B1" w14:textId="5670B551" w:rsidR="00A25056" w:rsidRPr="004B5A2D" w:rsidRDefault="003513F0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noProof/>
                <w:sz w:val="18"/>
                <w:lang w:eastAsia="es-MX"/>
              </w:rPr>
            </w:pPr>
            <w:r w:rsidRPr="00872F6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93EA" w14:textId="6C89E048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XXV </w:t>
            </w:r>
            <w:r w:rsidR="003513F0" w:rsidRPr="00093F9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concesiones, contratos, convenios, permisos, licencias o autorizaciones otorgados, especificando</w:t>
            </w:r>
            <w:r w:rsidR="003513F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las personas</w:t>
            </w:r>
            <w:r w:rsidR="003513F0" w:rsidRPr="00093F9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titulares de aquéllos, debiendo publicarse su objeto, nombre o razón social de</w:t>
            </w:r>
            <w:r w:rsidR="003513F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la persona</w:t>
            </w:r>
            <w:r w:rsidR="003513F0" w:rsidRPr="00093F9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titular, vigencia, tipo, términos, condiciones, monto y </w:t>
            </w:r>
            <w:r w:rsidR="003513F0" w:rsidRPr="00093F9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lastRenderedPageBreak/>
              <w:t>modificaciones, así como si el procedimiento involucra el aprovechamiento de bienes, servicios y/o recursos públicos;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2D2B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lastRenderedPageBreak/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B2CF" w14:textId="49941FBE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28BD0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</w:tr>
      <w:tr w:rsidR="003513F0" w:rsidRPr="00B95D1A" w14:paraId="5F988FEE" w14:textId="77777777" w:rsidTr="0038113B">
        <w:trPr>
          <w:trHeight w:val="18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504C" w14:textId="2A36B2A0" w:rsidR="003513F0" w:rsidRPr="004B5A2D" w:rsidRDefault="003513F0" w:rsidP="003513F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55E7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5684" w14:textId="6798732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XXVI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resultados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de los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procedimientos de adjudicación directa, invitación restringida y licitación de cualquier naturaleza, incluyendo la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v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ersión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ública del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Expediente respectivo y de los contratos celebrados, que deberá contener, por lo menos, lo siguiente: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D6CC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4FF0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7F88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513F0" w:rsidRPr="00B95D1A" w14:paraId="0A36F297" w14:textId="77777777" w:rsidTr="0038113B">
        <w:trPr>
          <w:trHeight w:val="18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7B92" w14:textId="40D91A14" w:rsidR="003513F0" w:rsidRPr="004B5A2D" w:rsidRDefault="003513F0" w:rsidP="003513F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55E7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8647" w14:textId="6F6685BC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XXVII </w:t>
            </w:r>
            <w:r w:rsidRPr="001B0C91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informes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que generen de conformidad con las disposiciones jurídicas</w:t>
            </w:r>
            <w:r w:rsidRPr="001B0C91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1D8C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4FD6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A5A0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513F0" w:rsidRPr="00B95D1A" w14:paraId="3270B670" w14:textId="77777777" w:rsidTr="0038113B">
        <w:trPr>
          <w:trHeight w:val="163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2F91" w14:textId="370B04CC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F4D7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CE07" w14:textId="5B3F724D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XXVIII </w:t>
            </w:r>
            <w:r w:rsidRPr="001B0C91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estadísticas que generen en cumplimiento de sus facultades, competencias o funciones con la mayor desagregación posible;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C23B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0330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134A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513F0" w:rsidRPr="00B95D1A" w14:paraId="125AA397" w14:textId="77777777" w:rsidTr="0038113B">
        <w:trPr>
          <w:trHeight w:val="6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A840" w14:textId="40930909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F4D7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3CAF" w14:textId="77777777" w:rsidR="003513F0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XXIX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Los</w:t>
            </w:r>
            <w:r w:rsidRPr="00FB1ED5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Informe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de avances programáticos o presupuestales, balances generales y su estado financiero;</w:t>
            </w:r>
          </w:p>
          <w:p w14:paraId="722A769D" w14:textId="3A148A4B" w:rsidR="0098434F" w:rsidRPr="004B5A2D" w:rsidRDefault="0098434F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5D4B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F49D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1A3B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52A4396A" w14:textId="77777777" w:rsidTr="0038113B">
        <w:trPr>
          <w:trHeight w:val="83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9DC4" w14:textId="4C68A365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12233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77E7" w14:textId="77777777" w:rsidR="002F50D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El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Padrón de proveedores y contratistas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en los sistemas habilitados para ello, de conformidad con las disposiciones jurídicas aplicables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;</w:t>
            </w:r>
          </w:p>
          <w:p w14:paraId="28AB2DBD" w14:textId="40C6CC75" w:rsidR="0098434F" w:rsidRPr="004B5A2D" w:rsidRDefault="0098434F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74B7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6E23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636DD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20BB76BC" w14:textId="77777777" w:rsidTr="0038113B">
        <w:trPr>
          <w:trHeight w:val="69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6B5B" w14:textId="782CCED3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12233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3F59" w14:textId="3E0A142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convenios de coordinación de concertación con los sectores social y privado;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2981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F594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260E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6FC5CE15" w14:textId="77777777" w:rsidTr="0038113B">
        <w:trPr>
          <w:trHeight w:val="5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CC15" w14:textId="390CBEE6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12233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2DE7" w14:textId="131AAD71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inventario de bienes muebles e inmuebles en posesión y propiedad;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BC74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7732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96D3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29E01D35" w14:textId="77777777" w:rsidTr="0038113B">
        <w:trPr>
          <w:trHeight w:val="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DCF7" w14:textId="1116C5A5" w:rsidR="00A25056" w:rsidRPr="004B5A2D" w:rsidRDefault="00A25056" w:rsidP="00AE4EEC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AE4EE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65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br/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/>
              <w:t>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CFD3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XXXIII </w:t>
            </w:r>
            <w:r w:rsidR="002F50DD"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Las recomendaciones emitidas por los órganos públicos del Estado mexicano u organismos internacionales garantes de los </w:t>
            </w:r>
            <w:r w:rsidR="002F50DD"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lastRenderedPageBreak/>
              <w:t>derechos humanos, así como las acciones que han llevado a cabo para su atención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;</w:t>
            </w:r>
          </w:p>
          <w:p w14:paraId="4E4CA168" w14:textId="08402428" w:rsidR="0098434F" w:rsidRPr="004B5A2D" w:rsidRDefault="0098434F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FD07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lastRenderedPageBreak/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E51C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4ED7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023DDEDB" w14:textId="77777777" w:rsidTr="0038113B">
        <w:trPr>
          <w:trHeight w:val="16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54EC" w14:textId="389AF28C" w:rsidR="002F50DD" w:rsidRPr="004B5A2D" w:rsidRDefault="002F50DD" w:rsidP="002F50D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953D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8CF9" w14:textId="3C13E5BF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XXXIV </w:t>
            </w:r>
            <w:r w:rsidRPr="002F559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resoluciones que se emitan en procesos o procedimientos seguidos en forma de juicio;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D883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124D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EAF7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202D1C53" w14:textId="77777777" w:rsidTr="0038113B">
        <w:trPr>
          <w:trHeight w:val="125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707" w14:textId="611BE09C" w:rsidR="002F50DD" w:rsidRPr="004B5A2D" w:rsidRDefault="002F50DD" w:rsidP="002F50D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953D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B540" w14:textId="711A0728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XXXV </w:t>
            </w:r>
            <w:r w:rsidR="00920D75" w:rsidRPr="0059032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mecanismos de participación ciudadana</w:t>
            </w:r>
            <w:r w:rsidR="00920D7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4172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B385" w14:textId="1DCF4698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A797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920D75" w:rsidRPr="00B95D1A" w14:paraId="29AF6CBE" w14:textId="77777777" w:rsidTr="0038113B">
        <w:trPr>
          <w:trHeight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5385" w14:textId="00373226" w:rsidR="00920D75" w:rsidRPr="004B5A2D" w:rsidRDefault="00920D75" w:rsidP="00920D75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D60C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EA46" w14:textId="77777777" w:rsidR="00920D75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XXXVI </w:t>
            </w:r>
            <w:r w:rsidRPr="008B7D7C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Los</w:t>
            </w:r>
            <w:r w:rsidRPr="008B7D7C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programas que ofrecen, incluyendo información sobre la población, objetivo y destino, así como los trámites, tiempos de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8B7D7C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respuesta, requisitos y formatos para acceder a los mismos;</w:t>
            </w:r>
          </w:p>
          <w:p w14:paraId="24251E70" w14:textId="69ACA6F5" w:rsidR="0098434F" w:rsidRPr="004B5A2D" w:rsidRDefault="0098434F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71C0" w14:textId="77777777" w:rsidR="00920D75" w:rsidRPr="004B5A2D" w:rsidRDefault="00920D75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9C09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AB1B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920D75" w:rsidRPr="00B95D1A" w14:paraId="758E825C" w14:textId="77777777" w:rsidTr="0038113B">
        <w:trPr>
          <w:trHeight w:val="6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82B9" w14:textId="61EB3286" w:rsidR="00920D75" w:rsidRPr="004B5A2D" w:rsidRDefault="00920D75" w:rsidP="00920D75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D60C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DAE8" w14:textId="48393088" w:rsidR="00920D75" w:rsidRPr="0088626A" w:rsidRDefault="00920D75" w:rsidP="0088626A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XXXVII </w:t>
            </w:r>
            <w:r w:rsidR="0088626A"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actas y resoluciones del Comité de Transparencia de los sujetos obligados;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DF1B" w14:textId="77777777" w:rsidR="00920D75" w:rsidRPr="004B5A2D" w:rsidRDefault="00920D75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ED24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7238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920D75" w:rsidRPr="00B95D1A" w14:paraId="296D2243" w14:textId="77777777" w:rsidTr="0038113B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ED11" w14:textId="2D10B737" w:rsidR="00920D75" w:rsidRPr="004B5A2D" w:rsidRDefault="00920D75" w:rsidP="00920D75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D60C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A9DF" w14:textId="1BEE740F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XXXVIII </w:t>
            </w:r>
            <w:r w:rsidR="0088626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Las</w:t>
            </w:r>
            <w:r w:rsidR="0088626A"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evaluaciones y encuestas que hagan los sujetos obligados a programas financiados con recursos públicos;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C43B" w14:textId="77777777" w:rsidR="00920D75" w:rsidRPr="004B5A2D" w:rsidRDefault="00920D75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B46C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546D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D34DED" w:rsidRPr="00B95D1A" w14:paraId="0B4F1CBB" w14:textId="77777777" w:rsidTr="0038113B">
        <w:trPr>
          <w:trHeight w:val="72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37CF" w14:textId="017E8E3E" w:rsidR="00D34DED" w:rsidRPr="004B5A2D" w:rsidRDefault="00D34DED" w:rsidP="00D34DE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A116D2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E760" w14:textId="590D7E9C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XXXIX </w:t>
            </w:r>
            <w:r w:rsidRPr="006859B0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Los</w:t>
            </w:r>
            <w:r w:rsidRPr="006859B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estudios financiados con recursos públicos;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2C49" w14:textId="77777777" w:rsidR="00D34DED" w:rsidRPr="004B5A2D" w:rsidRDefault="00D34DE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C143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C11E3" w14:textId="6D112CED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D34DED" w:rsidRPr="00B95D1A" w14:paraId="535010F9" w14:textId="77777777" w:rsidTr="0038113B">
        <w:trPr>
          <w:trHeight w:val="77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82E" w14:textId="447B63F5" w:rsidR="00D34DED" w:rsidRPr="004B5A2D" w:rsidRDefault="00D34DED" w:rsidP="00D34DE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A116D2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1A08" w14:textId="59327042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listado de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personas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jubilad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 y pensionad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, así como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monto que reciben;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7F59" w14:textId="77777777" w:rsidR="00D34DED" w:rsidRPr="004B5A2D" w:rsidRDefault="00D34DE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3605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F62F6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D34DED" w:rsidRPr="00B95D1A" w14:paraId="44B7B6FC" w14:textId="77777777" w:rsidTr="0038113B">
        <w:trPr>
          <w:trHeight w:val="43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8B4" w14:textId="0F139756" w:rsidR="00D34DED" w:rsidRPr="004B5A2D" w:rsidRDefault="00D34DED" w:rsidP="00D34DE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A116D2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A0DD" w14:textId="77777777" w:rsidR="00D34DE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XLI </w:t>
            </w:r>
            <w:r w:rsidRPr="00986BF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ingresos recibidos por cualquier concepto señalando el nombre de 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as personas</w:t>
            </w:r>
            <w:r w:rsidRPr="00986BF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responsables de recibirlos, administrarlos y ejercerlos, así como su destino;</w:t>
            </w:r>
          </w:p>
          <w:p w14:paraId="63FCF20C" w14:textId="22613262" w:rsidR="0098434F" w:rsidRPr="004B5A2D" w:rsidRDefault="0098434F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9C55" w14:textId="77777777" w:rsidR="00D34DED" w:rsidRPr="004B5A2D" w:rsidRDefault="00D34DE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713F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56E35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D34DED" w:rsidRPr="00B95D1A" w14:paraId="4F65B804" w14:textId="77777777" w:rsidTr="0038113B">
        <w:trPr>
          <w:trHeight w:val="46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A91A" w14:textId="37EA569E" w:rsidR="00D34DED" w:rsidRPr="004B5A2D" w:rsidRDefault="00D34DED" w:rsidP="00D34DE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A116D2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48B7" w14:textId="77777777" w:rsidR="00D34DE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XLII </w:t>
            </w:r>
            <w:r w:rsidRPr="00D61E47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donaciones</w:t>
            </w:r>
            <w:r w:rsidRPr="00986BF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hechas a terceros en dinero o en especie;</w:t>
            </w:r>
          </w:p>
          <w:p w14:paraId="5CAB3631" w14:textId="15E5E7CC" w:rsidR="0098434F" w:rsidRPr="004B5A2D" w:rsidRDefault="0098434F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D749" w14:textId="77777777" w:rsidR="00D34DED" w:rsidRPr="004B5A2D" w:rsidRDefault="00D34DE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D97D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  <w:p w14:paraId="596F5E7C" w14:textId="3E6F0F9A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89F3A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4283C0D5" w14:textId="77777777" w:rsidTr="0038113B">
        <w:trPr>
          <w:trHeight w:val="114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49F2" w14:textId="61A70D87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3563F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903F" w14:textId="71E811EA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XLIII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catálogo de disposición y guía de archivo documental;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097BA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A86A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CF4A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4C28C8BE" w14:textId="77777777" w:rsidTr="0038113B">
        <w:trPr>
          <w:trHeight w:val="4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8E6F" w14:textId="1781F403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3563F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A172" w14:textId="77777777" w:rsidR="001E1814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XLIV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actas de sesiones ordinarias y extraordinarias, así como las opiniones y recomendaciones que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en su caso,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emitan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consejos consultivos;</w:t>
            </w:r>
          </w:p>
          <w:p w14:paraId="5F2A171B" w14:textId="2FC45286" w:rsidR="0098434F" w:rsidRPr="004B5A2D" w:rsidRDefault="0098434F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5E64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1EA2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B13E0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33D83D84" w14:textId="77777777" w:rsidTr="0038113B">
        <w:trPr>
          <w:trHeight w:val="4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0D25" w14:textId="55A5A3BE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3563F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2267" w14:textId="43D19538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XLV </w:t>
            </w:r>
            <w:r>
              <w:rPr>
                <w:rFonts w:ascii="Candara" w:eastAsia="Times New Roman" w:hAnsi="Candara" w:cs="Arial"/>
                <w:i/>
                <w:iCs/>
                <w:sz w:val="18"/>
                <w:szCs w:val="18"/>
                <w:lang w:eastAsia="es-MX"/>
              </w:rPr>
              <w:t>El</w:t>
            </w:r>
            <w:r w:rsidRPr="00AE121A">
              <w:rPr>
                <w:rFonts w:ascii="Candara" w:eastAsia="Times New Roman" w:hAnsi="Candara" w:cs="Arial"/>
                <w:i/>
                <w:iCs/>
                <w:sz w:val="18"/>
                <w:szCs w:val="18"/>
                <w:lang w:eastAsia="es-MX"/>
              </w:rPr>
              <w:t xml:space="preserve"> listado de solicitudes a las empresas concesionarias de telecomunicaciones y proveedores de servicios o aplicaciones de Internet para la intervención de comunicaciones privadas, el acceso al registro de comunicaciones y la localización geográfica en tiempo real de equipos de comunicación, que contenga exclusivamente el objeto, el alcance temporal y los fundamentos legales del requerimiento, así como, en su caso, la mención de que cuenta con</w:t>
            </w:r>
            <w:r>
              <w:rPr>
                <w:rFonts w:ascii="Candara" w:eastAsia="Times New Roman" w:hAnsi="Candara" w:cs="Arial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AE121A">
              <w:rPr>
                <w:rFonts w:ascii="Candara" w:eastAsia="Times New Roman" w:hAnsi="Candara" w:cs="Arial"/>
                <w:i/>
                <w:iCs/>
                <w:sz w:val="18"/>
                <w:szCs w:val="18"/>
                <w:lang w:eastAsia="es-MX"/>
              </w:rPr>
              <w:t>la autorización judicial correspondiente, 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9AB8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3B65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4E29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2C67335D" w14:textId="77777777" w:rsidTr="0038113B">
        <w:trPr>
          <w:trHeight w:val="90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C5C7" w14:textId="5F848194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15F2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37FA" w14:textId="77777777" w:rsidR="001E1814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XLVI </w:t>
            </w:r>
            <w:r w:rsidRPr="00BA772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Cualquier otra información que sea de utilidad o se considere relevante,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y la que se encuentre prevista en otras disposiciones jurídicas aplicables</w:t>
            </w:r>
            <w:r w:rsidRPr="00BA772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.</w:t>
            </w:r>
          </w:p>
          <w:p w14:paraId="29FC0816" w14:textId="75A43FD1" w:rsidR="0098434F" w:rsidRPr="004B5A2D" w:rsidRDefault="0098434F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EE96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CBFB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2DB5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50DEA79E" w14:textId="77777777" w:rsidTr="0038113B">
        <w:trPr>
          <w:trHeight w:val="57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3175" w14:textId="3E38DCEF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15F2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3663" w14:textId="77777777" w:rsidR="00CE6606" w:rsidRPr="004B5A2D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Último párrafo </w:t>
            </w:r>
          </w:p>
          <w:p w14:paraId="1ECD1802" w14:textId="01A1E652" w:rsidR="00CE6606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sujetos obligados deberán de informar a las Autoridades garantes de forma fundada y motivada cuáles son las fracciones de este artículo que les resultan aplicables, para efecto de que las Autoridades validen</w:t>
            </w:r>
          </w:p>
          <w:p w14:paraId="629B25E0" w14:textId="77777777" w:rsidR="00CE6606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</w:p>
          <w:p w14:paraId="3948C571" w14:textId="3D1ED340" w:rsidR="00CE6606" w:rsidRPr="004B5A2D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Cs/>
                <w:noProof/>
                <w:sz w:val="18"/>
                <w:lang w:eastAsia="es-MX"/>
              </w:rPr>
              <w:t>*TABLA DE APLICABILIDAD INTEGRAL</w:t>
            </w:r>
          </w:p>
          <w:p w14:paraId="03B8119A" w14:textId="37CB613C" w:rsidR="001E1814" w:rsidRPr="004B5A2D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Cs/>
                <w:noProof/>
                <w:sz w:val="18"/>
                <w:lang w:eastAsia="es-MX"/>
              </w:rPr>
              <w:t>*TABLAS DE ACTUALIZACIÓN Y CONSERVACIÓN DE LA INFORMACIÓN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E7FC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7A60" w14:textId="13F9503C" w:rsidR="001E1814" w:rsidRPr="004B5A2D" w:rsidRDefault="001E1814" w:rsidP="00CE6606">
            <w:pPr>
              <w:spacing w:after="0" w:line="240" w:lineRule="auto"/>
              <w:jc w:val="both"/>
              <w:rPr>
                <w:rFonts w:ascii="Candara" w:eastAsia="Times New Roman" w:hAnsi="Candara" w:cstheme="minorHAnsi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87D2" w14:textId="013A4C81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1777" w:rsidRPr="004B5A2D" w14:paraId="7D98E02B" w14:textId="77777777" w:rsidTr="0038113B">
        <w:trPr>
          <w:trHeight w:val="48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B493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LGT</w:t>
            </w:r>
          </w:p>
          <w:p w14:paraId="0BC731FD" w14:textId="20E6C20E" w:rsidR="00A21777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76</w:t>
            </w:r>
          </w:p>
          <w:p w14:paraId="4FAF59F8" w14:textId="77777777" w:rsidR="003022F9" w:rsidRPr="004B5A2D" w:rsidRDefault="003022F9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3B7F2168" w14:textId="77777777" w:rsidR="003022F9" w:rsidRDefault="003022F9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3022F9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Los fideicomisos, fondos públicos, mandatos o cualquier contrato análogo, además de lo señalado en el artículo 65 de la presente Ley, deberán poner a disposición del público y mantener actualizada y accesible, en lo que resulte aplicable a cada contrato, la información siguiente</w:t>
            </w:r>
            <w:r w:rsidR="00A21777" w:rsidRPr="000D4372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:</w:t>
            </w:r>
          </w:p>
          <w:p w14:paraId="5CC23136" w14:textId="77777777" w:rsidR="003022F9" w:rsidRDefault="003022F9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  <w:p w14:paraId="5DFA62A7" w14:textId="1731637B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6C73" w14:textId="7EB206FC" w:rsidR="00A21777" w:rsidRPr="003022F9" w:rsidRDefault="00A21777" w:rsidP="003022F9">
            <w:pPr>
              <w:jc w:val="both"/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I. </w:t>
            </w:r>
            <w:r w:rsidR="003022F9" w:rsidRPr="008A5328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El nombre de la persona servidora pública y de la persona física o moral que represente al fideicomitente, al fiduciario y al fideicomisario;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439C" w14:textId="42D2917D" w:rsidR="00A21777" w:rsidRPr="004B5A2D" w:rsidRDefault="00CC25F3" w:rsidP="00A21777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t xml:space="preserve"> </w:t>
            </w:r>
            <w:r w:rsidR="00A21777"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F9CC" w14:textId="0EC2E35E" w:rsidR="00A21777" w:rsidRDefault="00A21777" w:rsidP="00A21777">
            <w:pPr>
              <w:jc w:val="both"/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>.</w:t>
            </w:r>
          </w:p>
          <w:p w14:paraId="1814EE61" w14:textId="2DA5BF6E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ADC5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1777" w:rsidRPr="00B95D1A" w14:paraId="76E74421" w14:textId="77777777" w:rsidTr="0038113B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C8C1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6D0E8D1F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3368A800" w14:textId="16223B03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7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</w:t>
            </w:r>
          </w:p>
          <w:p w14:paraId="32A8BCF0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46C9F27F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817F" w14:textId="6245F47F" w:rsidR="00A21777" w:rsidRPr="003022F9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II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3022F9" w:rsidRPr="008A5328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La unidad administrativa responsable del fideicomiso;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A400" w14:textId="50531967" w:rsidR="00A21777" w:rsidRPr="004B5A2D" w:rsidRDefault="00CC25F3" w:rsidP="00A21777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t xml:space="preserve"> </w:t>
            </w:r>
            <w:r w:rsidR="00A21777"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7D0D" w14:textId="23243750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2886" w14:textId="7BCD6D15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1777" w:rsidRPr="00B95D1A" w14:paraId="5A700AD2" w14:textId="77777777" w:rsidTr="0038113B">
        <w:trPr>
          <w:trHeight w:val="27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9735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6D0E9169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5101CFDB" w14:textId="12523B6E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7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</w:t>
            </w:r>
          </w:p>
          <w:p w14:paraId="7D646A86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5442323B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AC02" w14:textId="67A102F5" w:rsidR="003022F9" w:rsidRPr="003022F9" w:rsidRDefault="00A21777" w:rsidP="003022F9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II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I.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3022F9" w:rsidRPr="008A5328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El monto total, el uso y destino del patrimonio fideicomitido, distinguiendo las aportaciones públicas y</w:t>
            </w:r>
            <w:r w:rsidR="003022F9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3022F9" w:rsidRPr="008A5328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fuente de los recursos, los subsidios, donaciones, transferencias,</w:t>
            </w:r>
            <w:r w:rsidR="003022F9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3022F9" w:rsidRPr="008A5328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excedentes, inversiones realizadas y</w:t>
            </w:r>
            <w:r w:rsidR="003022F9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3022F9" w:rsidRPr="008A5328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aportaciones o subvenciones que reciban;</w:t>
            </w:r>
          </w:p>
          <w:p w14:paraId="594B4C69" w14:textId="6F800BE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39C7" w14:textId="2B8CD4D3" w:rsidR="00A21777" w:rsidRPr="004B5A2D" w:rsidRDefault="00A21777" w:rsidP="00A21777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t xml:space="preserve"> </w:t>
            </w: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FFCE" w14:textId="6D871A8A" w:rsidR="00A21777" w:rsidRPr="009C1CC7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theme="minorHAnsi"/>
                <w:b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7993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6AD99DFA" w14:textId="77777777" w:rsidTr="00CC25F3">
        <w:trPr>
          <w:trHeight w:val="304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02AB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LGT</w:t>
            </w:r>
          </w:p>
          <w:p w14:paraId="3FDF0E92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729DCF33" w14:textId="69D35DB3" w:rsidR="00192D3E" w:rsidRPr="004B5A2D" w:rsidRDefault="00192D3E" w:rsidP="00192D3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7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</w:t>
            </w:r>
          </w:p>
          <w:p w14:paraId="64BA8F94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  <w:p w14:paraId="242ECE30" w14:textId="77777777" w:rsidR="00BC7A8B" w:rsidRPr="004B5A2D" w:rsidRDefault="00BC7A8B" w:rsidP="00BC7A8B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31B7A726" w14:textId="77777777" w:rsidR="00A25056" w:rsidRPr="004B5A2D" w:rsidRDefault="00A25056" w:rsidP="00C608A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F8B3" w14:textId="530646AF" w:rsidR="00A25056" w:rsidRPr="004B5A2D" w:rsidRDefault="00A25056" w:rsidP="00C608A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Fracción I</w:t>
            </w:r>
            <w:r w:rsidR="00192D3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</w:t>
            </w:r>
            <w:r w:rsidR="00C608A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3022F9" w:rsidRPr="008A5328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El saldo total al cierre del ejercicio fiscal, sin perjuicio de los demás informes que deban presentarse en</w:t>
            </w:r>
            <w:r w:rsidR="003022F9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3022F9" w:rsidRPr="008A5328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los términos de las disposiciones aplicables;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C199" w14:textId="0C095121" w:rsidR="00C608A5" w:rsidRPr="004B5A2D" w:rsidRDefault="00CC25F3" w:rsidP="00CC25F3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t xml:space="preserve"> </w:t>
            </w:r>
            <w:r w:rsidR="00C608A5"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  <w:p w14:paraId="593D62EC" w14:textId="77777777" w:rsidR="00A25056" w:rsidRDefault="00A25056" w:rsidP="00CC25F3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</w:p>
          <w:p w14:paraId="2308D50F" w14:textId="77777777" w:rsidR="00A25056" w:rsidRDefault="00A25056" w:rsidP="00CC25F3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</w:p>
          <w:p w14:paraId="24E27006" w14:textId="77777777" w:rsidR="00A25056" w:rsidRDefault="00A25056" w:rsidP="00CC25F3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</w:p>
          <w:p w14:paraId="6FC0B2DF" w14:textId="77777777" w:rsidR="00A25056" w:rsidRPr="004B5A2D" w:rsidRDefault="00A25056" w:rsidP="00CC25F3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  <w:p w14:paraId="4E9AF884" w14:textId="77777777" w:rsidR="00A25056" w:rsidRPr="004B5A2D" w:rsidRDefault="00A25056" w:rsidP="00CC25F3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  <w:p w14:paraId="2576B3AC" w14:textId="77777777" w:rsidR="00A25056" w:rsidRDefault="00A25056" w:rsidP="00CC25F3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  <w:p w14:paraId="32378B5A" w14:textId="77777777" w:rsidR="00A25056" w:rsidRPr="004B5A2D" w:rsidRDefault="00A25056" w:rsidP="00CC25F3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B959" w14:textId="3D5B1053" w:rsidR="00A25056" w:rsidRPr="004B5A2D" w:rsidRDefault="00A25056" w:rsidP="00192D3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7E92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531A27" w14:paraId="302C6960" w14:textId="77777777" w:rsidTr="003022F9">
        <w:trPr>
          <w:trHeight w:val="20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6E1E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282336C3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2B22DC4D" w14:textId="62E789DE" w:rsidR="00192D3E" w:rsidRPr="004B5A2D" w:rsidRDefault="00192D3E" w:rsidP="00192D3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7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</w:t>
            </w:r>
          </w:p>
          <w:p w14:paraId="33BD66B7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041A3B5F" w14:textId="77777777" w:rsidR="0038113B" w:rsidRPr="004B5A2D" w:rsidRDefault="0038113B" w:rsidP="0038113B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3EE86BEC" w14:textId="36C16145" w:rsidR="0038113B" w:rsidRPr="004B5A2D" w:rsidRDefault="0038113B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CAF4" w14:textId="1E4644A8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 w:rsidR="00192D3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</w:t>
            </w:r>
            <w:r w:rsidR="00086EB7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.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3022F9" w:rsidRPr="008A5328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Las modificaciones que, en su caso, sufran los contratos o decretos de constitución del fideicomiso o</w:t>
            </w:r>
            <w:r w:rsidR="003022F9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3022F9" w:rsidRPr="008A5328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del fondo público;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B04F" w14:textId="7F818DAB" w:rsidR="00A25056" w:rsidRPr="00247205" w:rsidRDefault="003022F9" w:rsidP="003022F9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t>A</w:t>
            </w:r>
            <w:r w:rsidR="00A25056" w:rsidRPr="00247205">
              <w:rPr>
                <w:rFonts w:ascii="Candara" w:hAnsi="Candara"/>
                <w:noProof/>
                <w:sz w:val="18"/>
                <w:szCs w:val="18"/>
              </w:rPr>
              <w:t>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1E8F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  <w:p w14:paraId="63208CFB" w14:textId="345A2D5D" w:rsidR="00A25056" w:rsidRPr="004B5A2D" w:rsidRDefault="00A25056" w:rsidP="00192D3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D618E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6E5313C3" w14:textId="77777777" w:rsidTr="00BC7A8B">
        <w:trPr>
          <w:trHeight w:val="371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520E" w14:textId="2C32830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7243C9C4" w14:textId="16F02BA6" w:rsidR="007A151E" w:rsidRPr="004B5A2D" w:rsidRDefault="007A151E" w:rsidP="007A151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7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</w:t>
            </w:r>
          </w:p>
          <w:p w14:paraId="652CA1CB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  <w:p w14:paraId="7C47E1FA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6CB52FF9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CBE0" w14:textId="23029A70" w:rsidR="003022F9" w:rsidRPr="003022F9" w:rsidRDefault="00A25056" w:rsidP="003022F9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Fracción</w:t>
            </w:r>
            <w:r w:rsidR="00086EB7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V</w:t>
            </w:r>
            <w:r w:rsidR="00674D0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3022F9" w:rsidRPr="00AF2503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padrón de beneficiarios, en su caso;</w:t>
            </w:r>
          </w:p>
          <w:p w14:paraId="6B7E4E9A" w14:textId="4FE32B1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5DA2" w14:textId="6EF67208" w:rsidR="00A25056" w:rsidRPr="004B5A2D" w:rsidRDefault="00B40356" w:rsidP="00BC7A8B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t xml:space="preserve"> </w:t>
            </w:r>
            <w:r w:rsidR="00A25056"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4E58" w14:textId="5138605C" w:rsidR="007122CE" w:rsidRPr="00B40356" w:rsidRDefault="007122CE" w:rsidP="003022F9">
            <w:pPr>
              <w:jc w:val="both"/>
              <w:rPr>
                <w:rFonts w:ascii="Candara" w:eastAsia="Times New Roman" w:hAnsi="Candara" w:cs="Times New Roman"/>
                <w:bCs/>
                <w:iCs/>
                <w:noProof/>
                <w:sz w:val="18"/>
                <w:lang w:val="en-US" w:eastAsia="es-MX"/>
              </w:rPr>
            </w:pPr>
          </w:p>
          <w:p w14:paraId="1DA8AC7C" w14:textId="25487A40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DC319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24EDDBC8" w14:textId="77777777" w:rsidTr="0038113B">
        <w:trPr>
          <w:trHeight w:val="272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1EB3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LGT</w:t>
            </w:r>
          </w:p>
          <w:p w14:paraId="5EE85A12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2DA04DEE" w14:textId="6252D2F3" w:rsidR="007A151E" w:rsidRPr="004B5A2D" w:rsidRDefault="007A151E" w:rsidP="007A151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674D0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7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</w:t>
            </w:r>
          </w:p>
          <w:p w14:paraId="74023A0E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  <w:p w14:paraId="147A103E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29CDD665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5850" w14:textId="567BF368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 w:rsidR="007A151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VI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I.</w:t>
            </w:r>
            <w:r w:rsidR="00674D0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674D00" w:rsidRPr="00AF2503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Causas por las que, en su caso, se inicie el proceso de constitución o extinción del fideicomiso o fondo</w:t>
            </w:r>
            <w:r w:rsidR="00674D0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674D00" w:rsidRPr="00AF2503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público, especificando, de manera detallada, los recursos financieros destinados para tal efecto, y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B607" w14:textId="77777777" w:rsidR="00A25056" w:rsidRPr="004B5A2D" w:rsidRDefault="00A25056" w:rsidP="00852AC9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086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378B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12ED" w:rsidRPr="00B95D1A" w14:paraId="6B35F050" w14:textId="77777777" w:rsidTr="0038113B">
        <w:trPr>
          <w:trHeight w:val="272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FA01" w14:textId="77777777" w:rsidR="002F12ED" w:rsidRPr="004B5A2D" w:rsidRDefault="002F12ED" w:rsidP="002F12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3E1DCAA3" w14:textId="77777777" w:rsidR="002F12ED" w:rsidRPr="004B5A2D" w:rsidRDefault="002F12ED" w:rsidP="002F12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17F393A1" w14:textId="77777777" w:rsidR="002F12ED" w:rsidRPr="004B5A2D" w:rsidRDefault="002F12ED" w:rsidP="002F12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76</w:t>
            </w:r>
          </w:p>
          <w:p w14:paraId="767334BE" w14:textId="77777777" w:rsidR="002F12ED" w:rsidRPr="004B5A2D" w:rsidRDefault="002F12ED" w:rsidP="002F12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  <w:p w14:paraId="3CBB5223" w14:textId="77777777" w:rsidR="002F12ED" w:rsidRPr="004B5A2D" w:rsidRDefault="002F12ED" w:rsidP="002F12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4711FA1A" w14:textId="77777777" w:rsidR="002F12ED" w:rsidRPr="004B5A2D" w:rsidRDefault="002F12ED" w:rsidP="002F12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861F" w14:textId="4D5FDF98" w:rsidR="002F12ED" w:rsidRPr="004B5A2D" w:rsidRDefault="002F12ED" w:rsidP="002F12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VI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I.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AF2503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contratos de obras, adquisiciones y servicios que involucren recursos públicos del fideicomiso, así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AF2503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como los honorarios derivados de los servicios y operaciones que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AF2503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realice la institución de crédito o la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AF2503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fiduciaria.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2277" w14:textId="48583977" w:rsidR="002F12ED" w:rsidRPr="004B5A2D" w:rsidRDefault="002F12ED" w:rsidP="002F12ED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E27B" w14:textId="77777777" w:rsidR="002F12ED" w:rsidRPr="004B5A2D" w:rsidRDefault="002F12ED" w:rsidP="002F12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6BD1" w14:textId="77777777" w:rsidR="002F12ED" w:rsidRPr="004B5A2D" w:rsidRDefault="002F12ED" w:rsidP="002F12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606C70" w:rsidRPr="00DD2662" w14:paraId="0DA0F65D" w14:textId="77777777" w:rsidTr="007E0A9C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A200" w14:textId="77777777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13D4B09F" w14:textId="77777777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61887656" w14:textId="1885D34D" w:rsidR="00606C70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79</w:t>
            </w:r>
          </w:p>
          <w:p w14:paraId="6107FAC6" w14:textId="77777777" w:rsidR="00737778" w:rsidRPr="004B5A2D" w:rsidRDefault="00737778" w:rsidP="00606C70">
            <w:pPr>
              <w:spacing w:after="0" w:line="240" w:lineRule="auto"/>
              <w:jc w:val="both"/>
              <w:rPr>
                <w:noProof/>
              </w:rPr>
            </w:pPr>
          </w:p>
          <w:p w14:paraId="67741595" w14:textId="77777777" w:rsidR="00737778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38113B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Para determinar la información adicional que publicarán todos los sujetos obligados de manera obligatoria, las Autoridades garantes deberán:</w:t>
            </w:r>
          </w:p>
          <w:p w14:paraId="26383E15" w14:textId="0A2C7AEA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56B2755B" w14:textId="77777777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1A13" w14:textId="73CC1188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I. </w:t>
            </w:r>
            <w:r w:rsidRPr="0038113B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Solicitar a los sujetos obligados que, atendiendo a los lineamientos emitidos por el Sistema Nacional, remitan el listado de información que consideren de interés público;</w:t>
            </w:r>
          </w:p>
          <w:p w14:paraId="03EE019B" w14:textId="6F593E6C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II. </w:t>
            </w:r>
            <w:r w:rsidRPr="00606C70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Revisar el listado que remitió el sujeto obligado con base en las funciones, atribuciones y competencias que las disposiciones jurídicas aplicables le otorguen, y</w:t>
            </w:r>
          </w:p>
          <w:p w14:paraId="69AD3DDD" w14:textId="77777777" w:rsidR="00606C70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III. </w:t>
            </w:r>
            <w:r w:rsidRPr="00606C70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Determinar el catálogo de información que el sujeto obligado deberá publicar como obligación de transparencia.</w:t>
            </w:r>
          </w:p>
          <w:p w14:paraId="5CC03B59" w14:textId="27725ED8" w:rsidR="0098434F" w:rsidRPr="004B5A2D" w:rsidRDefault="0098434F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AD55" w14:textId="77777777" w:rsidR="00606C70" w:rsidRPr="004B5A2D" w:rsidRDefault="00606C70" w:rsidP="007E0A9C">
            <w:pPr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 xml:space="preserve">No </w:t>
            </w:r>
            <w:r w:rsidRPr="004B5A2D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7437" w14:textId="2777B281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sz w:val="18"/>
                <w:lang w:eastAsia="es-MX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 xml:space="preserve">La publicación de la información corresponde a la Autoridad garante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2FC1" w14:textId="77777777" w:rsidR="00606C70" w:rsidRPr="004B5A2D" w:rsidRDefault="00606C70" w:rsidP="00606C70">
            <w:pPr>
              <w:spacing w:after="0" w:line="240" w:lineRule="auto"/>
              <w:jc w:val="both"/>
              <w:rPr>
                <w:rFonts w:eastAsia="Times New Roman" w:cs="Times New Roman"/>
                <w:noProof/>
                <w:sz w:val="18"/>
                <w:lang w:eastAsia="es-MX"/>
              </w:rPr>
            </w:pPr>
          </w:p>
        </w:tc>
      </w:tr>
      <w:tr w:rsidR="00606C70" w:rsidRPr="004B5A2D" w14:paraId="14DEF2F8" w14:textId="77777777" w:rsidTr="0038113B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060E" w14:textId="07F0BC51" w:rsidR="00606C70" w:rsidRPr="0020403C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</w:t>
            </w:r>
            <w:r w:rsidR="00F70C52" w:rsidRPr="0020403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ey Local</w:t>
            </w:r>
          </w:p>
          <w:p w14:paraId="7BAD30BB" w14:textId="77777777" w:rsidR="00606C70" w:rsidRPr="0020403C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3E337AA2" w14:textId="6C0EDF06" w:rsidR="00606C70" w:rsidRPr="0020403C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  <w:t>Artículo</w:t>
            </w:r>
            <w:r w:rsidR="00DE4AE7" w:rsidRPr="0020403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  <w:t xml:space="preserve"> 84</w:t>
            </w:r>
          </w:p>
          <w:p w14:paraId="24FA2C89" w14:textId="77777777" w:rsidR="00A2291F" w:rsidRPr="0020403C" w:rsidRDefault="00A2291F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</w:pPr>
          </w:p>
          <w:p w14:paraId="57F466B3" w14:textId="09407688" w:rsidR="00A2291F" w:rsidRPr="0020403C" w:rsidRDefault="00DE4AE7" w:rsidP="00DE4AE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  <w:t xml:space="preserve"> Además de lo señalado en el artículo 76 de la </w:t>
            </w:r>
            <w:r w:rsidRPr="0020403C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  <w:lastRenderedPageBreak/>
              <w:t>Ley General, y en esta Ley, los fideicomisos, fondos públicos, mandatos o cualquier otro contrato análogo, deberán poner a disposición del público y mantener actualizada la siguiente información: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2968" w14:textId="77777777" w:rsidR="00A2291F" w:rsidRPr="0020403C" w:rsidRDefault="00A2291F" w:rsidP="00606C70">
            <w:pPr>
              <w:spacing w:after="240"/>
              <w:jc w:val="both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</w:pPr>
          </w:p>
          <w:p w14:paraId="5614D6AA" w14:textId="75AB70E8" w:rsidR="00606C70" w:rsidRPr="0020403C" w:rsidRDefault="00121FDF" w:rsidP="00A2291F">
            <w:pPr>
              <w:spacing w:after="240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 xml:space="preserve">Fracción I. </w:t>
            </w:r>
            <w:r w:rsidR="00A2291F" w:rsidRPr="0020403C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4F65CA" w:rsidRPr="0020403C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Monto total de remanentes de un ejercicio fiscal a otro;</w:t>
            </w:r>
            <w:r w:rsidR="004F65CA" w:rsidRPr="0020403C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1856" w14:textId="77777777" w:rsidR="00606C70" w:rsidRPr="0020403C" w:rsidRDefault="00606C70" w:rsidP="00121FD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20403C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A09D" w14:textId="77777777" w:rsidR="00606C70" w:rsidRPr="00BC4628" w:rsidRDefault="00606C70" w:rsidP="00606C70">
            <w:pPr>
              <w:spacing w:after="240"/>
              <w:jc w:val="both"/>
              <w:rPr>
                <w:rFonts w:ascii="Candara" w:eastAsia="Times New Roman" w:hAnsi="Candara" w:cs="Times New Roman"/>
                <w:noProof/>
                <w:sz w:val="18"/>
                <w:szCs w:val="18"/>
                <w:highlight w:val="yellow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48D29" w14:textId="77777777" w:rsidR="00606C70" w:rsidRPr="00BC4628" w:rsidRDefault="00606C70" w:rsidP="00606C70">
            <w:pPr>
              <w:spacing w:after="0" w:line="240" w:lineRule="auto"/>
              <w:jc w:val="center"/>
              <w:rPr>
                <w:rFonts w:eastAsia="Times New Roman" w:cs="Times New Roman"/>
                <w:noProof/>
                <w:sz w:val="18"/>
                <w:highlight w:val="yellow"/>
                <w:lang w:eastAsia="es-MX"/>
              </w:rPr>
            </w:pPr>
          </w:p>
        </w:tc>
      </w:tr>
      <w:tr w:rsidR="00606C70" w:rsidRPr="00B95D1A" w14:paraId="3D8C0F10" w14:textId="77777777" w:rsidTr="0038113B">
        <w:trPr>
          <w:trHeight w:val="77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4341" w14:textId="77777777" w:rsidR="00121FDF" w:rsidRPr="0020403C" w:rsidRDefault="00121FDF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0B4556EF" w14:textId="77777777" w:rsidR="00121FDF" w:rsidRPr="0020403C" w:rsidRDefault="00121FDF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1CFE26FF" w14:textId="7ED5A8FF" w:rsidR="00606C70" w:rsidRPr="0020403C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4F65CA" w:rsidRPr="0020403C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84</w:t>
            </w:r>
            <w:r w:rsidRPr="0020403C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. </w:t>
            </w:r>
          </w:p>
          <w:p w14:paraId="5D2AB62A" w14:textId="77777777" w:rsidR="00606C70" w:rsidRPr="0020403C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512B" w14:textId="77777777" w:rsidR="004F65CA" w:rsidRPr="0020403C" w:rsidRDefault="00606C70" w:rsidP="004F65CA">
            <w:pPr>
              <w:jc w:val="both"/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20403C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20403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II.</w:t>
            </w:r>
            <w:r w:rsidR="00A2291F" w:rsidRPr="0020403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4F65CA" w:rsidRPr="0020403C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Las reglas de operación que los regulan; y</w:t>
            </w:r>
          </w:p>
          <w:p w14:paraId="4A9B4592" w14:textId="79AD9551" w:rsidR="00606C70" w:rsidRPr="0020403C" w:rsidRDefault="00606C70" w:rsidP="005F5515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C37D" w14:textId="77777777" w:rsidR="00606C70" w:rsidRPr="0020403C" w:rsidRDefault="00606C70" w:rsidP="00121FD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56E5" w14:textId="77777777" w:rsidR="00606C70" w:rsidRPr="0020403C" w:rsidRDefault="00606C70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269C7" w14:textId="77777777" w:rsidR="00606C70" w:rsidRPr="00BC4628" w:rsidRDefault="00606C70" w:rsidP="00606C70">
            <w:pPr>
              <w:rPr>
                <w:highlight w:val="yellow"/>
              </w:rPr>
            </w:pPr>
          </w:p>
        </w:tc>
      </w:tr>
      <w:tr w:rsidR="00606C70" w:rsidRPr="004B5A2D" w14:paraId="15FC002D" w14:textId="77777777" w:rsidTr="0038113B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F25D" w14:textId="77777777" w:rsidR="00A2291F" w:rsidRPr="0020403C" w:rsidRDefault="00A2291F" w:rsidP="00A2291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3209C456" w14:textId="77777777" w:rsidR="00A2291F" w:rsidRPr="0020403C" w:rsidRDefault="00A2291F" w:rsidP="00A2291F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3BBDD5F5" w14:textId="3D6BD1B4" w:rsidR="00A2291F" w:rsidRPr="0020403C" w:rsidRDefault="00A2291F" w:rsidP="00A2291F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4F65CA" w:rsidRPr="0020403C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84</w:t>
            </w:r>
            <w:r w:rsidRPr="0020403C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. </w:t>
            </w:r>
          </w:p>
          <w:p w14:paraId="30ED4B93" w14:textId="7CC5F31D" w:rsidR="00606C70" w:rsidRPr="0020403C" w:rsidRDefault="00A2291F" w:rsidP="00A2291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044C" w14:textId="112C9C1D" w:rsidR="00606C70" w:rsidRPr="0020403C" w:rsidRDefault="004F65CA" w:rsidP="00606C70">
            <w:pPr>
              <w:spacing w:after="24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20403C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20403C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III</w:t>
            </w:r>
            <w:r w:rsidRPr="0020403C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Las cantidades recabadas por concepto de multas, así como, en su caso, el uso o aplicación que se les den;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8C6F" w14:textId="77777777" w:rsidR="00606C70" w:rsidRPr="0020403C" w:rsidRDefault="00606C70" w:rsidP="00121FD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20403C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6C6AE" w14:textId="6B0D3BC6" w:rsidR="00606C70" w:rsidRPr="0020403C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theme="minorHAnsi"/>
                <w:b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DA4C" w14:textId="77777777" w:rsidR="00606C70" w:rsidRPr="00BC4628" w:rsidRDefault="00606C70" w:rsidP="00606C7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highlight w:val="yellow"/>
                <w:lang w:eastAsia="es-MX"/>
              </w:rPr>
            </w:pPr>
          </w:p>
        </w:tc>
      </w:tr>
      <w:tr w:rsidR="00121FDF" w:rsidRPr="004B5A2D" w14:paraId="0446E34C" w14:textId="77777777" w:rsidTr="00315C07">
        <w:trPr>
          <w:trHeight w:val="14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83D7" w14:textId="77777777" w:rsidR="00B517F4" w:rsidRPr="00315C07" w:rsidRDefault="00B517F4" w:rsidP="00B517F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315C07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01A6B46A" w14:textId="77777777" w:rsidR="00B517F4" w:rsidRPr="00315C07" w:rsidRDefault="00B517F4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7363E9CC" w14:textId="10295BFB" w:rsidR="00B517F4" w:rsidRPr="00315C07" w:rsidRDefault="00B517F4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315C07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Artículo 8</w:t>
            </w:r>
            <w:r w:rsidR="00315C07" w:rsidRPr="00315C07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</w:t>
            </w:r>
            <w:r w:rsidRPr="00315C07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. </w:t>
            </w:r>
          </w:p>
          <w:p w14:paraId="77F375EB" w14:textId="34A47ACD" w:rsidR="00315C07" w:rsidRPr="00315C07" w:rsidRDefault="00315C07" w:rsidP="00315C07">
            <w:pPr>
              <w:jc w:val="both"/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</w:pPr>
            <w:r w:rsidRPr="00315C07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Los sujetos obligados que realicen obra pública</w:t>
            </w:r>
            <w:r w:rsidR="00F7625C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315C07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deberán difundir físicamente en el lugar de la obra,</w:t>
            </w:r>
          </w:p>
          <w:p w14:paraId="79457055" w14:textId="51FFC11D" w:rsidR="00315C07" w:rsidRPr="00315C07" w:rsidRDefault="00315C07" w:rsidP="00315C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315C07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una placa o inscripción que señale que fue realizada con recursos públicos y el costo de la misma.</w:t>
            </w:r>
          </w:p>
          <w:p w14:paraId="55D5A4FC" w14:textId="5B0D2627" w:rsidR="00121FDF" w:rsidRPr="00315C07" w:rsidRDefault="00B517F4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315C07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3B0E" w14:textId="77777777" w:rsidR="00121FDF" w:rsidRPr="004B5A2D" w:rsidRDefault="00121FDF" w:rsidP="00606C70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43F3" w14:textId="3A6F6FDA" w:rsidR="00121FDF" w:rsidRPr="004B5A2D" w:rsidRDefault="00315C07" w:rsidP="00315C0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E41C30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C680" w14:textId="77777777" w:rsidR="00121FDF" w:rsidRPr="004B5A2D" w:rsidRDefault="00121FDF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0313" w14:textId="77777777" w:rsidR="00121FDF" w:rsidRPr="004B5A2D" w:rsidRDefault="00121FDF" w:rsidP="00606C7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21FDF" w:rsidRPr="004B5A2D" w14:paraId="5DA65640" w14:textId="77777777" w:rsidTr="0098434F">
        <w:trPr>
          <w:trHeight w:val="239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92E4" w14:textId="77777777" w:rsidR="00B517F4" w:rsidRPr="00315C07" w:rsidRDefault="00B517F4" w:rsidP="00B517F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315C07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Ley Local</w:t>
            </w:r>
          </w:p>
          <w:p w14:paraId="4678FDCF" w14:textId="77777777" w:rsidR="00B517F4" w:rsidRPr="00315C07" w:rsidRDefault="00B517F4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6FB7A3F5" w14:textId="4B4527D3" w:rsidR="00315C07" w:rsidRPr="00315C07" w:rsidRDefault="00315C07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  <w:r w:rsidRPr="00315C07"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  <w:t>Artículo 89.</w:t>
            </w:r>
          </w:p>
          <w:p w14:paraId="44220105" w14:textId="77777777" w:rsidR="00315C07" w:rsidRPr="00315C07" w:rsidRDefault="00315C07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</w:p>
          <w:p w14:paraId="2C43ED86" w14:textId="7319E98F" w:rsidR="00121FDF" w:rsidRPr="00315C07" w:rsidRDefault="00315C07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315C07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Los ejecutores del gasto deberán publicar dentro de los primeros 60 días de cada inicio de ejercicio fiscal, las medidas a implementar en cumplimiento a lo establecido en la Ley Estatal de Austeridad Republicana.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FCF4" w14:textId="77777777" w:rsidR="00121FDF" w:rsidRPr="004B5A2D" w:rsidRDefault="00121FDF" w:rsidP="00606C70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FD3A" w14:textId="36B851CF" w:rsidR="00121FDF" w:rsidRPr="004B5A2D" w:rsidRDefault="00F7625C" w:rsidP="00F7625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E41C30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52B8" w14:textId="77777777" w:rsidR="00121FDF" w:rsidRPr="004B5A2D" w:rsidRDefault="00121FDF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1C9C" w14:textId="77777777" w:rsidR="00121FDF" w:rsidRPr="004B5A2D" w:rsidRDefault="00121FDF" w:rsidP="00606C7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606C70" w:rsidRPr="004B5A2D" w14:paraId="3CA10553" w14:textId="77777777" w:rsidTr="0098434F">
        <w:trPr>
          <w:trHeight w:val="335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E36" w14:textId="77777777" w:rsidR="00315C07" w:rsidRPr="0098434F" w:rsidRDefault="00315C07" w:rsidP="00315C0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0277C3E0" w14:textId="77777777" w:rsidR="00315C07" w:rsidRPr="0098434F" w:rsidRDefault="00315C07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</w:p>
          <w:p w14:paraId="53903006" w14:textId="5D8F29CC" w:rsidR="00315C07" w:rsidRPr="0098434F" w:rsidRDefault="00315C07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  <w:t xml:space="preserve">Articulo 90 </w:t>
            </w:r>
          </w:p>
          <w:p w14:paraId="58436C39" w14:textId="77777777" w:rsidR="00315C07" w:rsidRPr="0098434F" w:rsidRDefault="00315C07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</w:p>
          <w:p w14:paraId="7155D72C" w14:textId="05A98641" w:rsidR="00606C70" w:rsidRPr="0098434F" w:rsidRDefault="00315C07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Para determinar la información adicional que publicarán todos los sujetos obligados de manera obligatoria, las Autoridades Garantes en el Estado deberán: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5615" w14:textId="3BA933D0" w:rsidR="00F7625C" w:rsidRPr="0098434F" w:rsidRDefault="00F7625C" w:rsidP="00F7625C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I.</w:t>
            </w:r>
            <w:r w:rsidR="00315C07" w:rsidRPr="0098434F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315C07" w:rsidRPr="0098434F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Solicitar a los sujetos obligados que, atendiendo a los lineamientos emitidos por el Sistema </w:t>
            </w:r>
            <w:r w:rsidRPr="0098434F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Nacional, remitan el listado de información que consideren de interés público;</w:t>
            </w:r>
          </w:p>
          <w:p w14:paraId="0D2A927B" w14:textId="67D1A729" w:rsidR="00F7625C" w:rsidRPr="0098434F" w:rsidRDefault="00F7625C" w:rsidP="00F7625C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II. </w:t>
            </w:r>
            <w:r w:rsidRPr="0098434F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Revisar el listado que remitió el sujeto obligado con base en las funciones, atribuciones y competencias que la normatividad aplicable le otorgue, y</w:t>
            </w:r>
          </w:p>
          <w:p w14:paraId="7106CC33" w14:textId="1D53C12A" w:rsidR="00F7625C" w:rsidRPr="0098434F" w:rsidRDefault="00F7625C" w:rsidP="00F7625C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III. </w:t>
            </w:r>
            <w:r w:rsidRPr="0098434F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Determinar el catálogo de información que el sujeto obligado deberá publicar como obligación de transparencia.</w:t>
            </w:r>
          </w:p>
          <w:p w14:paraId="052C9572" w14:textId="77777777" w:rsidR="00606C70" w:rsidRPr="0098434F" w:rsidRDefault="00606C70" w:rsidP="00606C70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DD9B" w14:textId="0F2AFBB6" w:rsidR="00606C70" w:rsidRPr="004B5A2D" w:rsidRDefault="00F7625C" w:rsidP="00F7625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 xml:space="preserve">No </w:t>
            </w:r>
            <w:r w:rsidR="00606C70" w:rsidRPr="004B5A2D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36B7" w14:textId="38257A62" w:rsidR="00606C70" w:rsidRPr="004B5A2D" w:rsidRDefault="00A704D3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>La publicación de la información corresponde a la Autoridad garante</w:t>
            </w:r>
            <w:r w:rsidR="00927811"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 xml:space="preserve"> Local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EAED3" w14:textId="77777777" w:rsidR="00606C70" w:rsidRPr="004B5A2D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</w:tbl>
    <w:p w14:paraId="4EBBC57F" w14:textId="77777777" w:rsidR="00F74F9A" w:rsidRPr="00861EF6" w:rsidRDefault="00F74F9A" w:rsidP="00300DFF">
      <w:pPr>
        <w:jc w:val="both"/>
        <w:rPr>
          <w:rFonts w:ascii="Candara" w:eastAsia="Calibri" w:hAnsi="Candara" w:cs="Times New Roman"/>
          <w:noProof/>
          <w:sz w:val="18"/>
        </w:rPr>
      </w:pPr>
    </w:p>
    <w:p w14:paraId="1494845D" w14:textId="12120F69" w:rsidR="009974A3" w:rsidRPr="00861EF6" w:rsidRDefault="0085175D" w:rsidP="005D1FCB">
      <w:pPr>
        <w:rPr>
          <w:rFonts w:ascii="Candara" w:hAnsi="Candara"/>
          <w:noProof/>
          <w:sz w:val="18"/>
        </w:rPr>
      </w:pPr>
      <w:r w:rsidRPr="00861EF6">
        <w:rPr>
          <w:rFonts w:ascii="Candara" w:eastAsia="Calibri" w:hAnsi="Candara" w:cs="Times New Roman"/>
          <w:noProof/>
          <w:sz w:val="18"/>
        </w:rPr>
        <w:t xml:space="preserve">NOTA: </w:t>
      </w:r>
      <w:r w:rsidR="009974A3" w:rsidRPr="00861EF6">
        <w:rPr>
          <w:rFonts w:ascii="Candara" w:eastAsia="Calibri" w:hAnsi="Candara" w:cs="Times New Roman"/>
          <w:noProof/>
          <w:sz w:val="18"/>
        </w:rPr>
        <w:t>La validación de la  presente  tabla de</w:t>
      </w:r>
      <w:r w:rsidR="009974A3" w:rsidRPr="00861EF6">
        <w:rPr>
          <w:rFonts w:ascii="Candara" w:hAnsi="Candara"/>
          <w:noProof/>
          <w:sz w:val="18"/>
        </w:rPr>
        <w:t xml:space="preserve"> aplicabilidad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 es susceptible de modifica</w:t>
      </w:r>
      <w:r w:rsidR="00730A2C" w:rsidRPr="00861EF6">
        <w:rPr>
          <w:rFonts w:ascii="Candara" w:eastAsia="Calibri" w:hAnsi="Candara" w:cs="Times New Roman"/>
          <w:noProof/>
          <w:sz w:val="18"/>
        </w:rPr>
        <w:t>ción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 </w:t>
      </w:r>
      <w:r w:rsidR="00730A2C" w:rsidRPr="00861EF6">
        <w:rPr>
          <w:rFonts w:ascii="Candara" w:eastAsia="Calibri" w:hAnsi="Candara" w:cs="Times New Roman"/>
          <w:noProof/>
          <w:sz w:val="18"/>
        </w:rPr>
        <w:t xml:space="preserve">por el </w:t>
      </w:r>
      <w:r w:rsidR="00F7625C">
        <w:rPr>
          <w:rFonts w:ascii="Candara" w:eastAsia="Calibri" w:hAnsi="Candara" w:cs="Times New Roman"/>
          <w:noProof/>
          <w:sz w:val="18"/>
        </w:rPr>
        <w:t>Instituto de Transpararencia par el Pueblo de Oaxaca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 con base </w:t>
      </w:r>
      <w:r w:rsidR="00F74F9A" w:rsidRPr="00861EF6">
        <w:rPr>
          <w:rFonts w:ascii="Candara" w:eastAsia="Calibri" w:hAnsi="Candara" w:cs="Times New Roman"/>
          <w:noProof/>
          <w:sz w:val="18"/>
        </w:rPr>
        <w:t>en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 </w:t>
      </w:r>
      <w:r w:rsidRPr="00861EF6">
        <w:rPr>
          <w:rFonts w:ascii="Candara" w:eastAsia="Calibri" w:hAnsi="Candara" w:cs="Times New Roman"/>
          <w:noProof/>
          <w:sz w:val="18"/>
        </w:rPr>
        <w:t>las disposiciones legales aplicables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. </w:t>
      </w:r>
      <w:r w:rsidR="00CB1052" w:rsidRPr="00861EF6">
        <w:rPr>
          <w:rFonts w:ascii="Candara" w:hAnsi="Candara"/>
          <w:noProof/>
          <w:sz w:val="18"/>
        </w:rPr>
        <w:t>Oaxaca de Juárez, Oaxaca</w:t>
      </w:r>
      <w:r w:rsidR="009974A3" w:rsidRPr="00861EF6">
        <w:rPr>
          <w:rFonts w:ascii="Candara" w:hAnsi="Candara"/>
          <w:noProof/>
          <w:sz w:val="18"/>
        </w:rPr>
        <w:t xml:space="preserve">, </w:t>
      </w:r>
      <w:r w:rsidR="00F7625C">
        <w:rPr>
          <w:rFonts w:ascii="Candara" w:hAnsi="Candara"/>
          <w:noProof/>
          <w:sz w:val="18"/>
        </w:rPr>
        <w:t xml:space="preserve">abril </w:t>
      </w:r>
      <w:r w:rsidR="005F30CF" w:rsidRPr="005F30CF">
        <w:rPr>
          <w:rFonts w:ascii="Candara" w:hAnsi="Candara"/>
          <w:noProof/>
          <w:sz w:val="18"/>
        </w:rPr>
        <w:t xml:space="preserve"> d</w:t>
      </w:r>
      <w:r w:rsidR="0004549F" w:rsidRPr="005F30CF">
        <w:rPr>
          <w:rFonts w:ascii="Candara" w:hAnsi="Candara"/>
          <w:noProof/>
          <w:sz w:val="18"/>
        </w:rPr>
        <w:t>e</w:t>
      </w:r>
      <w:r w:rsidR="00B610B0" w:rsidRPr="005F30CF">
        <w:rPr>
          <w:rFonts w:ascii="Candara" w:hAnsi="Candara"/>
          <w:noProof/>
          <w:sz w:val="18"/>
        </w:rPr>
        <w:t xml:space="preserve"> 20</w:t>
      </w:r>
      <w:r w:rsidR="00F23114" w:rsidRPr="005F30CF">
        <w:rPr>
          <w:rFonts w:ascii="Candara" w:hAnsi="Candara"/>
          <w:noProof/>
          <w:sz w:val="18"/>
        </w:rPr>
        <w:t>2</w:t>
      </w:r>
      <w:r w:rsidR="00F7625C">
        <w:rPr>
          <w:rFonts w:ascii="Candara" w:hAnsi="Candara"/>
          <w:noProof/>
          <w:sz w:val="18"/>
        </w:rPr>
        <w:t>6</w:t>
      </w:r>
      <w:r w:rsidR="00B610B0" w:rsidRPr="005F30CF">
        <w:rPr>
          <w:rFonts w:ascii="Candara" w:hAnsi="Candara"/>
          <w:noProof/>
          <w:sz w:val="18"/>
        </w:rPr>
        <w:t>.</w:t>
      </w:r>
    </w:p>
    <w:sectPr w:rsidR="009974A3" w:rsidRPr="00861EF6" w:rsidSect="0073594E">
      <w:footerReference w:type="default" r:id="rId8"/>
      <w:pgSz w:w="15840" w:h="12240" w:orient="landscape" w:code="1"/>
      <w:pgMar w:top="720" w:right="720" w:bottom="720" w:left="993" w:header="708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D0B7" w14:textId="77777777" w:rsidR="003F64AD" w:rsidRDefault="003F64AD" w:rsidP="00EB2BF3">
      <w:pPr>
        <w:spacing w:after="0" w:line="240" w:lineRule="auto"/>
      </w:pPr>
      <w:r>
        <w:separator/>
      </w:r>
    </w:p>
  </w:endnote>
  <w:endnote w:type="continuationSeparator" w:id="0">
    <w:p w14:paraId="51460C45" w14:textId="77777777" w:rsidR="003F64AD" w:rsidRDefault="003F64AD" w:rsidP="00E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5205186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962011571"/>
          <w:docPartObj>
            <w:docPartGallery w:val="Page Numbers (Top of Page)"/>
            <w:docPartUnique/>
          </w:docPartObj>
        </w:sdtPr>
        <w:sdtEndPr/>
        <w:sdtContent>
          <w:p w14:paraId="34F2E9FC" w14:textId="77777777" w:rsidR="00B95D1A" w:rsidRPr="003B5594" w:rsidRDefault="00B95D1A">
            <w:pPr>
              <w:pStyle w:val="Piedepgina"/>
              <w:jc w:val="right"/>
              <w:rPr>
                <w:sz w:val="18"/>
              </w:rPr>
            </w:pPr>
            <w:r w:rsidRPr="003B5594">
              <w:rPr>
                <w:sz w:val="18"/>
                <w:lang w:val="es-ES"/>
              </w:rPr>
              <w:t xml:space="preserve">Página </w:t>
            </w:r>
            <w:r w:rsidRPr="003B5594">
              <w:rPr>
                <w:b/>
                <w:bCs/>
                <w:sz w:val="20"/>
                <w:szCs w:val="24"/>
              </w:rPr>
              <w:fldChar w:fldCharType="begin"/>
            </w:r>
            <w:r w:rsidRPr="003B5594">
              <w:rPr>
                <w:b/>
                <w:bCs/>
                <w:sz w:val="18"/>
              </w:rPr>
              <w:instrText>PAGE</w:instrText>
            </w:r>
            <w:r w:rsidRPr="003B5594">
              <w:rPr>
                <w:b/>
                <w:bCs/>
                <w:sz w:val="20"/>
                <w:szCs w:val="24"/>
              </w:rPr>
              <w:fldChar w:fldCharType="separate"/>
            </w:r>
            <w:r w:rsidR="0073594E">
              <w:rPr>
                <w:b/>
                <w:bCs/>
                <w:noProof/>
                <w:sz w:val="18"/>
              </w:rPr>
              <w:t>14</w:t>
            </w:r>
            <w:r w:rsidRPr="003B5594">
              <w:rPr>
                <w:b/>
                <w:bCs/>
                <w:sz w:val="20"/>
                <w:szCs w:val="24"/>
              </w:rPr>
              <w:fldChar w:fldCharType="end"/>
            </w:r>
            <w:r w:rsidRPr="003B5594">
              <w:rPr>
                <w:sz w:val="18"/>
                <w:lang w:val="es-ES"/>
              </w:rPr>
              <w:t xml:space="preserve"> de </w:t>
            </w:r>
            <w:r w:rsidRPr="003B5594">
              <w:rPr>
                <w:b/>
                <w:bCs/>
                <w:sz w:val="20"/>
                <w:szCs w:val="24"/>
              </w:rPr>
              <w:fldChar w:fldCharType="begin"/>
            </w:r>
            <w:r w:rsidRPr="003B5594">
              <w:rPr>
                <w:b/>
                <w:bCs/>
                <w:sz w:val="18"/>
              </w:rPr>
              <w:instrText>NUMPAGES</w:instrText>
            </w:r>
            <w:r w:rsidRPr="003B5594">
              <w:rPr>
                <w:b/>
                <w:bCs/>
                <w:sz w:val="20"/>
                <w:szCs w:val="24"/>
              </w:rPr>
              <w:fldChar w:fldCharType="separate"/>
            </w:r>
            <w:r w:rsidR="0073594E">
              <w:rPr>
                <w:b/>
                <w:bCs/>
                <w:noProof/>
                <w:sz w:val="18"/>
              </w:rPr>
              <w:t>14</w:t>
            </w:r>
            <w:r w:rsidRPr="003B5594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607484E" w14:textId="77777777" w:rsidR="00B95D1A" w:rsidRDefault="00B95D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67DB" w14:textId="77777777" w:rsidR="003F64AD" w:rsidRDefault="003F64AD" w:rsidP="00EB2BF3">
      <w:pPr>
        <w:spacing w:after="0" w:line="240" w:lineRule="auto"/>
      </w:pPr>
      <w:r>
        <w:separator/>
      </w:r>
    </w:p>
  </w:footnote>
  <w:footnote w:type="continuationSeparator" w:id="0">
    <w:p w14:paraId="56DC4851" w14:textId="77777777" w:rsidR="003F64AD" w:rsidRDefault="003F64AD" w:rsidP="00EB2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C7F9B"/>
    <w:multiLevelType w:val="hybridMultilevel"/>
    <w:tmpl w:val="678E362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90FCD"/>
    <w:multiLevelType w:val="hybridMultilevel"/>
    <w:tmpl w:val="19A4FAA6"/>
    <w:lvl w:ilvl="0" w:tplc="080A0003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2" w15:restartNumberingAfterBreak="0">
    <w:nsid w:val="683B5C02"/>
    <w:multiLevelType w:val="hybridMultilevel"/>
    <w:tmpl w:val="9AC864F6"/>
    <w:lvl w:ilvl="0" w:tplc="F6EA075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327DA"/>
    <w:multiLevelType w:val="hybridMultilevel"/>
    <w:tmpl w:val="95C895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04"/>
    <w:rsid w:val="0001092A"/>
    <w:rsid w:val="00013538"/>
    <w:rsid w:val="00013DAE"/>
    <w:rsid w:val="00013DC3"/>
    <w:rsid w:val="00016034"/>
    <w:rsid w:val="00024673"/>
    <w:rsid w:val="00040E3E"/>
    <w:rsid w:val="00043FEB"/>
    <w:rsid w:val="0004549F"/>
    <w:rsid w:val="00045A4B"/>
    <w:rsid w:val="000475C1"/>
    <w:rsid w:val="00051ECC"/>
    <w:rsid w:val="0005554A"/>
    <w:rsid w:val="000610BC"/>
    <w:rsid w:val="000612AE"/>
    <w:rsid w:val="00065F58"/>
    <w:rsid w:val="000772C5"/>
    <w:rsid w:val="000774D7"/>
    <w:rsid w:val="000822E4"/>
    <w:rsid w:val="000826F1"/>
    <w:rsid w:val="00086EB7"/>
    <w:rsid w:val="0009205A"/>
    <w:rsid w:val="000A57A9"/>
    <w:rsid w:val="000B04BC"/>
    <w:rsid w:val="000B3260"/>
    <w:rsid w:val="000C40C9"/>
    <w:rsid w:val="000C76E3"/>
    <w:rsid w:val="000D0957"/>
    <w:rsid w:val="000D1F87"/>
    <w:rsid w:val="000D4372"/>
    <w:rsid w:val="000D7C95"/>
    <w:rsid w:val="000E0289"/>
    <w:rsid w:val="000E7563"/>
    <w:rsid w:val="000F7861"/>
    <w:rsid w:val="00106CD4"/>
    <w:rsid w:val="00121FDF"/>
    <w:rsid w:val="001250BD"/>
    <w:rsid w:val="00126F17"/>
    <w:rsid w:val="00134E4A"/>
    <w:rsid w:val="001361DD"/>
    <w:rsid w:val="00140CBF"/>
    <w:rsid w:val="001464CF"/>
    <w:rsid w:val="00147C8D"/>
    <w:rsid w:val="00147F1B"/>
    <w:rsid w:val="0016057C"/>
    <w:rsid w:val="00164F60"/>
    <w:rsid w:val="00175E88"/>
    <w:rsid w:val="00183CF9"/>
    <w:rsid w:val="001913B7"/>
    <w:rsid w:val="00192D3E"/>
    <w:rsid w:val="00197DF5"/>
    <w:rsid w:val="001A0126"/>
    <w:rsid w:val="001A3181"/>
    <w:rsid w:val="001A5308"/>
    <w:rsid w:val="001B1A08"/>
    <w:rsid w:val="001B30F4"/>
    <w:rsid w:val="001B7019"/>
    <w:rsid w:val="001B73FD"/>
    <w:rsid w:val="001B77DA"/>
    <w:rsid w:val="001C2A7A"/>
    <w:rsid w:val="001C564C"/>
    <w:rsid w:val="001D2C2C"/>
    <w:rsid w:val="001D6443"/>
    <w:rsid w:val="001D71C3"/>
    <w:rsid w:val="001E1814"/>
    <w:rsid w:val="001F3780"/>
    <w:rsid w:val="00200567"/>
    <w:rsid w:val="0020403C"/>
    <w:rsid w:val="00207854"/>
    <w:rsid w:val="0021012C"/>
    <w:rsid w:val="00225CBD"/>
    <w:rsid w:val="0024344B"/>
    <w:rsid w:val="00246987"/>
    <w:rsid w:val="00247205"/>
    <w:rsid w:val="00250D0C"/>
    <w:rsid w:val="00251753"/>
    <w:rsid w:val="002519D1"/>
    <w:rsid w:val="00252ADA"/>
    <w:rsid w:val="00260CE5"/>
    <w:rsid w:val="0028096A"/>
    <w:rsid w:val="00282044"/>
    <w:rsid w:val="0028233D"/>
    <w:rsid w:val="002838AD"/>
    <w:rsid w:val="00293672"/>
    <w:rsid w:val="0029458C"/>
    <w:rsid w:val="00297A36"/>
    <w:rsid w:val="00297E01"/>
    <w:rsid w:val="002A1093"/>
    <w:rsid w:val="002A5B6B"/>
    <w:rsid w:val="002C0905"/>
    <w:rsid w:val="002C5F74"/>
    <w:rsid w:val="002D4CC9"/>
    <w:rsid w:val="002D530A"/>
    <w:rsid w:val="002D777C"/>
    <w:rsid w:val="002E4F76"/>
    <w:rsid w:val="002F12ED"/>
    <w:rsid w:val="002F30F9"/>
    <w:rsid w:val="002F34FF"/>
    <w:rsid w:val="002F50DD"/>
    <w:rsid w:val="00300DFF"/>
    <w:rsid w:val="003022F9"/>
    <w:rsid w:val="00305608"/>
    <w:rsid w:val="003133B9"/>
    <w:rsid w:val="00315C07"/>
    <w:rsid w:val="0033404D"/>
    <w:rsid w:val="00343D21"/>
    <w:rsid w:val="0034728F"/>
    <w:rsid w:val="003513F0"/>
    <w:rsid w:val="00351FC7"/>
    <w:rsid w:val="00354FEF"/>
    <w:rsid w:val="0035573C"/>
    <w:rsid w:val="00370701"/>
    <w:rsid w:val="0038113B"/>
    <w:rsid w:val="0038384F"/>
    <w:rsid w:val="00383FBD"/>
    <w:rsid w:val="003856C5"/>
    <w:rsid w:val="00385E70"/>
    <w:rsid w:val="003909AD"/>
    <w:rsid w:val="00393918"/>
    <w:rsid w:val="003A0099"/>
    <w:rsid w:val="003B5594"/>
    <w:rsid w:val="003B692A"/>
    <w:rsid w:val="003C1ED5"/>
    <w:rsid w:val="003C3C43"/>
    <w:rsid w:val="003D02E0"/>
    <w:rsid w:val="003D1A37"/>
    <w:rsid w:val="003D6CC7"/>
    <w:rsid w:val="003E118A"/>
    <w:rsid w:val="003E13B0"/>
    <w:rsid w:val="003E25BB"/>
    <w:rsid w:val="003E6E63"/>
    <w:rsid w:val="003F0EE7"/>
    <w:rsid w:val="003F3DC0"/>
    <w:rsid w:val="003F57AA"/>
    <w:rsid w:val="003F64AD"/>
    <w:rsid w:val="00400B07"/>
    <w:rsid w:val="00417B20"/>
    <w:rsid w:val="004244B8"/>
    <w:rsid w:val="00433E9C"/>
    <w:rsid w:val="0043581C"/>
    <w:rsid w:val="00442006"/>
    <w:rsid w:val="00444FA8"/>
    <w:rsid w:val="00447079"/>
    <w:rsid w:val="004503FB"/>
    <w:rsid w:val="00450829"/>
    <w:rsid w:val="00452FB5"/>
    <w:rsid w:val="00455D6B"/>
    <w:rsid w:val="0046056C"/>
    <w:rsid w:val="0046100C"/>
    <w:rsid w:val="00465309"/>
    <w:rsid w:val="0046708F"/>
    <w:rsid w:val="00473B22"/>
    <w:rsid w:val="00481955"/>
    <w:rsid w:val="00481D07"/>
    <w:rsid w:val="00485F2A"/>
    <w:rsid w:val="0049186F"/>
    <w:rsid w:val="00493B9E"/>
    <w:rsid w:val="00494C1B"/>
    <w:rsid w:val="00496AA8"/>
    <w:rsid w:val="004973C4"/>
    <w:rsid w:val="004A37D0"/>
    <w:rsid w:val="004A59DF"/>
    <w:rsid w:val="004A5B6B"/>
    <w:rsid w:val="004A77C3"/>
    <w:rsid w:val="004A7D6C"/>
    <w:rsid w:val="004B1C35"/>
    <w:rsid w:val="004B23D1"/>
    <w:rsid w:val="004B5A2D"/>
    <w:rsid w:val="004C5831"/>
    <w:rsid w:val="004D0CF7"/>
    <w:rsid w:val="004D1952"/>
    <w:rsid w:val="004E35AE"/>
    <w:rsid w:val="004F08BD"/>
    <w:rsid w:val="004F3FDA"/>
    <w:rsid w:val="004F65CA"/>
    <w:rsid w:val="00506D3A"/>
    <w:rsid w:val="005159B4"/>
    <w:rsid w:val="00516694"/>
    <w:rsid w:val="00531A27"/>
    <w:rsid w:val="00535D22"/>
    <w:rsid w:val="0054343C"/>
    <w:rsid w:val="005534AB"/>
    <w:rsid w:val="0055547B"/>
    <w:rsid w:val="005619B7"/>
    <w:rsid w:val="005647C7"/>
    <w:rsid w:val="00567EFA"/>
    <w:rsid w:val="00586D04"/>
    <w:rsid w:val="00590D14"/>
    <w:rsid w:val="00592A04"/>
    <w:rsid w:val="005A4CA7"/>
    <w:rsid w:val="005B5AE1"/>
    <w:rsid w:val="005B619B"/>
    <w:rsid w:val="005B636D"/>
    <w:rsid w:val="005C095E"/>
    <w:rsid w:val="005C35D9"/>
    <w:rsid w:val="005C4B2D"/>
    <w:rsid w:val="005C6237"/>
    <w:rsid w:val="005D0885"/>
    <w:rsid w:val="005D1FCB"/>
    <w:rsid w:val="005D5ACD"/>
    <w:rsid w:val="005F0CA3"/>
    <w:rsid w:val="005F30CF"/>
    <w:rsid w:val="005F4042"/>
    <w:rsid w:val="005F5515"/>
    <w:rsid w:val="005F641F"/>
    <w:rsid w:val="006004D7"/>
    <w:rsid w:val="006028A3"/>
    <w:rsid w:val="0060302D"/>
    <w:rsid w:val="006044FE"/>
    <w:rsid w:val="00606C70"/>
    <w:rsid w:val="00612499"/>
    <w:rsid w:val="006145AD"/>
    <w:rsid w:val="006217B4"/>
    <w:rsid w:val="0062438E"/>
    <w:rsid w:val="00630490"/>
    <w:rsid w:val="00631E99"/>
    <w:rsid w:val="00635191"/>
    <w:rsid w:val="00635292"/>
    <w:rsid w:val="006360D6"/>
    <w:rsid w:val="00636C45"/>
    <w:rsid w:val="00643DFB"/>
    <w:rsid w:val="00655190"/>
    <w:rsid w:val="00655315"/>
    <w:rsid w:val="00656EED"/>
    <w:rsid w:val="006571CF"/>
    <w:rsid w:val="00657231"/>
    <w:rsid w:val="00660AED"/>
    <w:rsid w:val="00662FA0"/>
    <w:rsid w:val="0067334D"/>
    <w:rsid w:val="0067424F"/>
    <w:rsid w:val="00674D00"/>
    <w:rsid w:val="00691467"/>
    <w:rsid w:val="006939A1"/>
    <w:rsid w:val="006956D2"/>
    <w:rsid w:val="006B0AD0"/>
    <w:rsid w:val="006B2898"/>
    <w:rsid w:val="006B3146"/>
    <w:rsid w:val="006B3889"/>
    <w:rsid w:val="006B43BF"/>
    <w:rsid w:val="006C56E4"/>
    <w:rsid w:val="006C5F17"/>
    <w:rsid w:val="006D1544"/>
    <w:rsid w:val="006E4044"/>
    <w:rsid w:val="006E7E5C"/>
    <w:rsid w:val="007028BB"/>
    <w:rsid w:val="00707D41"/>
    <w:rsid w:val="007122CE"/>
    <w:rsid w:val="00713688"/>
    <w:rsid w:val="0071791C"/>
    <w:rsid w:val="00730A2C"/>
    <w:rsid w:val="007333D0"/>
    <w:rsid w:val="0073594E"/>
    <w:rsid w:val="00736878"/>
    <w:rsid w:val="00737778"/>
    <w:rsid w:val="00737DE1"/>
    <w:rsid w:val="0074037F"/>
    <w:rsid w:val="00745BD7"/>
    <w:rsid w:val="00750F25"/>
    <w:rsid w:val="00753598"/>
    <w:rsid w:val="00756698"/>
    <w:rsid w:val="0077488C"/>
    <w:rsid w:val="007808D2"/>
    <w:rsid w:val="007843B9"/>
    <w:rsid w:val="007862D7"/>
    <w:rsid w:val="0079225A"/>
    <w:rsid w:val="00796969"/>
    <w:rsid w:val="007A0690"/>
    <w:rsid w:val="007A151E"/>
    <w:rsid w:val="007A677E"/>
    <w:rsid w:val="007B47ED"/>
    <w:rsid w:val="007B61FD"/>
    <w:rsid w:val="007C0D84"/>
    <w:rsid w:val="007D319B"/>
    <w:rsid w:val="007D3782"/>
    <w:rsid w:val="007E0A9C"/>
    <w:rsid w:val="007E32FE"/>
    <w:rsid w:val="007F316C"/>
    <w:rsid w:val="007F38FF"/>
    <w:rsid w:val="007F601D"/>
    <w:rsid w:val="00816400"/>
    <w:rsid w:val="00817109"/>
    <w:rsid w:val="00822F1D"/>
    <w:rsid w:val="00833929"/>
    <w:rsid w:val="00833AD9"/>
    <w:rsid w:val="00834EE3"/>
    <w:rsid w:val="008375A5"/>
    <w:rsid w:val="0084703D"/>
    <w:rsid w:val="00850E48"/>
    <w:rsid w:val="0085175D"/>
    <w:rsid w:val="00852AB8"/>
    <w:rsid w:val="00852AC9"/>
    <w:rsid w:val="00857FBB"/>
    <w:rsid w:val="0086030A"/>
    <w:rsid w:val="00860BAA"/>
    <w:rsid w:val="00861EF6"/>
    <w:rsid w:val="00864F93"/>
    <w:rsid w:val="0087100B"/>
    <w:rsid w:val="00872F95"/>
    <w:rsid w:val="008806EA"/>
    <w:rsid w:val="00880FBE"/>
    <w:rsid w:val="0088626A"/>
    <w:rsid w:val="00886856"/>
    <w:rsid w:val="0089459E"/>
    <w:rsid w:val="008A5A4F"/>
    <w:rsid w:val="008B5780"/>
    <w:rsid w:val="008B5B47"/>
    <w:rsid w:val="008C67BB"/>
    <w:rsid w:val="008D477F"/>
    <w:rsid w:val="008F013E"/>
    <w:rsid w:val="009044F0"/>
    <w:rsid w:val="00904936"/>
    <w:rsid w:val="009101BF"/>
    <w:rsid w:val="0091610C"/>
    <w:rsid w:val="00916A94"/>
    <w:rsid w:val="00920D75"/>
    <w:rsid w:val="0092516B"/>
    <w:rsid w:val="00925FCA"/>
    <w:rsid w:val="00927811"/>
    <w:rsid w:val="009315DD"/>
    <w:rsid w:val="00932602"/>
    <w:rsid w:val="009332D7"/>
    <w:rsid w:val="009351F6"/>
    <w:rsid w:val="00942EEC"/>
    <w:rsid w:val="00950D6A"/>
    <w:rsid w:val="0095183E"/>
    <w:rsid w:val="00960BE1"/>
    <w:rsid w:val="00961EF6"/>
    <w:rsid w:val="009622A9"/>
    <w:rsid w:val="0098058D"/>
    <w:rsid w:val="00983CF1"/>
    <w:rsid w:val="0098434F"/>
    <w:rsid w:val="0099078E"/>
    <w:rsid w:val="009936C2"/>
    <w:rsid w:val="00996ABD"/>
    <w:rsid w:val="009974A3"/>
    <w:rsid w:val="009975EF"/>
    <w:rsid w:val="009A63D8"/>
    <w:rsid w:val="009B1B45"/>
    <w:rsid w:val="009B30B4"/>
    <w:rsid w:val="009C1CC7"/>
    <w:rsid w:val="009D4BA9"/>
    <w:rsid w:val="009D52BA"/>
    <w:rsid w:val="009D668B"/>
    <w:rsid w:val="009D6F9E"/>
    <w:rsid w:val="00A1206C"/>
    <w:rsid w:val="00A215A4"/>
    <w:rsid w:val="00A21777"/>
    <w:rsid w:val="00A21B57"/>
    <w:rsid w:val="00A2291F"/>
    <w:rsid w:val="00A25056"/>
    <w:rsid w:val="00A30F35"/>
    <w:rsid w:val="00A32A30"/>
    <w:rsid w:val="00A35225"/>
    <w:rsid w:val="00A3727E"/>
    <w:rsid w:val="00A379D5"/>
    <w:rsid w:val="00A418BC"/>
    <w:rsid w:val="00A5054A"/>
    <w:rsid w:val="00A52275"/>
    <w:rsid w:val="00A60DC2"/>
    <w:rsid w:val="00A704D3"/>
    <w:rsid w:val="00A7781B"/>
    <w:rsid w:val="00A81766"/>
    <w:rsid w:val="00A902C8"/>
    <w:rsid w:val="00AA0D16"/>
    <w:rsid w:val="00AB1D9F"/>
    <w:rsid w:val="00AB5F2E"/>
    <w:rsid w:val="00AC6949"/>
    <w:rsid w:val="00AC7CE1"/>
    <w:rsid w:val="00AD077E"/>
    <w:rsid w:val="00AD2689"/>
    <w:rsid w:val="00AD3C13"/>
    <w:rsid w:val="00AD5FEA"/>
    <w:rsid w:val="00AE257A"/>
    <w:rsid w:val="00AE3C40"/>
    <w:rsid w:val="00AE4EEC"/>
    <w:rsid w:val="00AF3A7F"/>
    <w:rsid w:val="00AF43A7"/>
    <w:rsid w:val="00AF78C0"/>
    <w:rsid w:val="00B077FF"/>
    <w:rsid w:val="00B13C4A"/>
    <w:rsid w:val="00B148A2"/>
    <w:rsid w:val="00B15CFF"/>
    <w:rsid w:val="00B21CC7"/>
    <w:rsid w:val="00B253C4"/>
    <w:rsid w:val="00B30DB5"/>
    <w:rsid w:val="00B312B0"/>
    <w:rsid w:val="00B35DBD"/>
    <w:rsid w:val="00B40356"/>
    <w:rsid w:val="00B517F4"/>
    <w:rsid w:val="00B60193"/>
    <w:rsid w:val="00B610B0"/>
    <w:rsid w:val="00B67A71"/>
    <w:rsid w:val="00B75D6D"/>
    <w:rsid w:val="00B91770"/>
    <w:rsid w:val="00B91956"/>
    <w:rsid w:val="00B95D1A"/>
    <w:rsid w:val="00BA0D2C"/>
    <w:rsid w:val="00BA2A9E"/>
    <w:rsid w:val="00BA2D80"/>
    <w:rsid w:val="00BA5D47"/>
    <w:rsid w:val="00BB5E0C"/>
    <w:rsid w:val="00BC1ABB"/>
    <w:rsid w:val="00BC4628"/>
    <w:rsid w:val="00BC7A8B"/>
    <w:rsid w:val="00BC7E79"/>
    <w:rsid w:val="00BD0DA1"/>
    <w:rsid w:val="00BD1D68"/>
    <w:rsid w:val="00BD4442"/>
    <w:rsid w:val="00BE4B9B"/>
    <w:rsid w:val="00BF4803"/>
    <w:rsid w:val="00BF550D"/>
    <w:rsid w:val="00C00A1F"/>
    <w:rsid w:val="00C17A9E"/>
    <w:rsid w:val="00C20E23"/>
    <w:rsid w:val="00C23B58"/>
    <w:rsid w:val="00C310AC"/>
    <w:rsid w:val="00C351F6"/>
    <w:rsid w:val="00C374E4"/>
    <w:rsid w:val="00C37C34"/>
    <w:rsid w:val="00C546CB"/>
    <w:rsid w:val="00C56340"/>
    <w:rsid w:val="00C56A09"/>
    <w:rsid w:val="00C608A5"/>
    <w:rsid w:val="00C66DDE"/>
    <w:rsid w:val="00C71AA6"/>
    <w:rsid w:val="00C75180"/>
    <w:rsid w:val="00C7675D"/>
    <w:rsid w:val="00C81140"/>
    <w:rsid w:val="00C83B9D"/>
    <w:rsid w:val="00C929F8"/>
    <w:rsid w:val="00CA02AF"/>
    <w:rsid w:val="00CA0ECB"/>
    <w:rsid w:val="00CA5487"/>
    <w:rsid w:val="00CB1052"/>
    <w:rsid w:val="00CC25F3"/>
    <w:rsid w:val="00CD175A"/>
    <w:rsid w:val="00CD5A86"/>
    <w:rsid w:val="00CE092E"/>
    <w:rsid w:val="00CE53E4"/>
    <w:rsid w:val="00CE6606"/>
    <w:rsid w:val="00CE6958"/>
    <w:rsid w:val="00D00934"/>
    <w:rsid w:val="00D0792D"/>
    <w:rsid w:val="00D13D02"/>
    <w:rsid w:val="00D159D6"/>
    <w:rsid w:val="00D16DA4"/>
    <w:rsid w:val="00D22901"/>
    <w:rsid w:val="00D24566"/>
    <w:rsid w:val="00D246B4"/>
    <w:rsid w:val="00D30671"/>
    <w:rsid w:val="00D30B78"/>
    <w:rsid w:val="00D34DED"/>
    <w:rsid w:val="00D44517"/>
    <w:rsid w:val="00D52172"/>
    <w:rsid w:val="00D60ABE"/>
    <w:rsid w:val="00D60FCC"/>
    <w:rsid w:val="00D740F8"/>
    <w:rsid w:val="00D77045"/>
    <w:rsid w:val="00D840AC"/>
    <w:rsid w:val="00D90FF3"/>
    <w:rsid w:val="00D929F7"/>
    <w:rsid w:val="00D953F0"/>
    <w:rsid w:val="00DA06C8"/>
    <w:rsid w:val="00DA4090"/>
    <w:rsid w:val="00DD2662"/>
    <w:rsid w:val="00DD7357"/>
    <w:rsid w:val="00DE2A64"/>
    <w:rsid w:val="00DE4040"/>
    <w:rsid w:val="00DE4AE7"/>
    <w:rsid w:val="00DF2BB3"/>
    <w:rsid w:val="00DF3DAA"/>
    <w:rsid w:val="00E004D3"/>
    <w:rsid w:val="00E029AA"/>
    <w:rsid w:val="00E02B6E"/>
    <w:rsid w:val="00E136CB"/>
    <w:rsid w:val="00E13D7D"/>
    <w:rsid w:val="00E17BE5"/>
    <w:rsid w:val="00E20284"/>
    <w:rsid w:val="00E3526A"/>
    <w:rsid w:val="00E3603D"/>
    <w:rsid w:val="00E41013"/>
    <w:rsid w:val="00E4243D"/>
    <w:rsid w:val="00E42BD4"/>
    <w:rsid w:val="00E42D97"/>
    <w:rsid w:val="00E43250"/>
    <w:rsid w:val="00E4726E"/>
    <w:rsid w:val="00E53978"/>
    <w:rsid w:val="00E62FC5"/>
    <w:rsid w:val="00E640D7"/>
    <w:rsid w:val="00E70EA3"/>
    <w:rsid w:val="00E774C4"/>
    <w:rsid w:val="00E86AC2"/>
    <w:rsid w:val="00E8740A"/>
    <w:rsid w:val="00E877B7"/>
    <w:rsid w:val="00E92E70"/>
    <w:rsid w:val="00E9348C"/>
    <w:rsid w:val="00E9431B"/>
    <w:rsid w:val="00E95773"/>
    <w:rsid w:val="00E95C73"/>
    <w:rsid w:val="00EA17DD"/>
    <w:rsid w:val="00EA1F66"/>
    <w:rsid w:val="00EA4E80"/>
    <w:rsid w:val="00EA5415"/>
    <w:rsid w:val="00EB1E59"/>
    <w:rsid w:val="00EB1E9A"/>
    <w:rsid w:val="00EB2BF3"/>
    <w:rsid w:val="00EB3836"/>
    <w:rsid w:val="00EB4042"/>
    <w:rsid w:val="00EC231B"/>
    <w:rsid w:val="00EC2F16"/>
    <w:rsid w:val="00EC2F89"/>
    <w:rsid w:val="00ED1005"/>
    <w:rsid w:val="00ED137B"/>
    <w:rsid w:val="00EF1F0E"/>
    <w:rsid w:val="00EF73A0"/>
    <w:rsid w:val="00F014F6"/>
    <w:rsid w:val="00F021E7"/>
    <w:rsid w:val="00F07324"/>
    <w:rsid w:val="00F14B63"/>
    <w:rsid w:val="00F154C0"/>
    <w:rsid w:val="00F16769"/>
    <w:rsid w:val="00F17345"/>
    <w:rsid w:val="00F228EF"/>
    <w:rsid w:val="00F23114"/>
    <w:rsid w:val="00F23B84"/>
    <w:rsid w:val="00F24DB9"/>
    <w:rsid w:val="00F27BAC"/>
    <w:rsid w:val="00F3062F"/>
    <w:rsid w:val="00F31173"/>
    <w:rsid w:val="00F33D3E"/>
    <w:rsid w:val="00F429AF"/>
    <w:rsid w:val="00F5487B"/>
    <w:rsid w:val="00F5748E"/>
    <w:rsid w:val="00F64C51"/>
    <w:rsid w:val="00F70C52"/>
    <w:rsid w:val="00F74C3D"/>
    <w:rsid w:val="00F74F9A"/>
    <w:rsid w:val="00F7625C"/>
    <w:rsid w:val="00F82B7A"/>
    <w:rsid w:val="00F903AD"/>
    <w:rsid w:val="00F914BB"/>
    <w:rsid w:val="00F968F9"/>
    <w:rsid w:val="00FA0FE1"/>
    <w:rsid w:val="00FB37A6"/>
    <w:rsid w:val="00FB44E6"/>
    <w:rsid w:val="00FC2CB4"/>
    <w:rsid w:val="00FC37AE"/>
    <w:rsid w:val="00FD1EAA"/>
    <w:rsid w:val="00FD602E"/>
    <w:rsid w:val="00FE16F7"/>
    <w:rsid w:val="00FE2795"/>
    <w:rsid w:val="00FF1F35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9CCAD"/>
  <w15:docId w15:val="{3C3F77E3-E24C-46C9-9144-A7CC4002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30A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581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C37AE"/>
    <w:pPr>
      <w:widowControl w:val="0"/>
      <w:spacing w:after="0" w:line="240" w:lineRule="auto"/>
      <w:ind w:left="153"/>
    </w:pPr>
    <w:rPr>
      <w:rFonts w:ascii="Arial" w:eastAsia="Arial" w:hAnsi="Arial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37AE"/>
    <w:rPr>
      <w:rFonts w:ascii="Arial" w:eastAsia="Arial" w:hAnsi="Arial"/>
      <w:sz w:val="21"/>
      <w:szCs w:val="21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3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68F9"/>
    <w:rPr>
      <w:color w:val="0000FF" w:themeColor="hyperlink"/>
      <w:u w:val="single"/>
    </w:rPr>
  </w:style>
  <w:style w:type="character" w:styleId="Refdenotaalpie">
    <w:name w:val="footnote reference"/>
    <w:uiPriority w:val="99"/>
    <w:semiHidden/>
    <w:unhideWhenUsed/>
    <w:rsid w:val="00BE4B9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50F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F25"/>
  </w:style>
  <w:style w:type="paragraph" w:styleId="Piedepgina">
    <w:name w:val="footer"/>
    <w:basedOn w:val="Normal"/>
    <w:link w:val="PiedepginaCar"/>
    <w:uiPriority w:val="99"/>
    <w:unhideWhenUsed/>
    <w:rsid w:val="00750F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F25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4D0CF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358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E43250"/>
  </w:style>
  <w:style w:type="paragraph" w:styleId="Sinespaciado">
    <w:name w:val="No Spacing"/>
    <w:uiPriority w:val="1"/>
    <w:qFormat/>
    <w:rsid w:val="000B0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B73C-EC06-4BF3-8BAD-2F1D3E7B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2402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ITPO</cp:lastModifiedBy>
  <cp:revision>18</cp:revision>
  <cp:lastPrinted>2021-05-11T18:15:00Z</cp:lastPrinted>
  <dcterms:created xsi:type="dcterms:W3CDTF">2026-03-26T21:28:00Z</dcterms:created>
  <dcterms:modified xsi:type="dcterms:W3CDTF">2026-04-16T00:21:00Z</dcterms:modified>
</cp:coreProperties>
</file>