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BE" w:rsidRDefault="001A4BD4">
      <w:pPr>
        <w:tabs>
          <w:tab w:val="left" w:pos="8259"/>
        </w:tabs>
        <w:ind w:left="115"/>
        <w:rPr>
          <w:rFonts w:ascii="Univia Pro Book" w:eastAsia="Univia Pro Book" w:hAnsi="Univia Pro Book" w:cs="Univia Pro Book"/>
          <w:sz w:val="20"/>
          <w:szCs w:val="20"/>
        </w:rPr>
      </w:pPr>
      <w:bookmarkStart w:id="0" w:name="_GoBack"/>
      <w:bookmarkEnd w:id="0"/>
      <w:r>
        <w:rPr>
          <w:rFonts w:ascii="Univia Pro Book" w:eastAsia="Univia Pro Book" w:hAnsi="Univia Pro Book" w:cs="Univia Pro Book"/>
          <w:sz w:val="20"/>
          <w:szCs w:val="20"/>
        </w:rPr>
        <w:t xml:space="preserve"> </w:t>
      </w:r>
      <w:r>
        <w:rPr>
          <w:rFonts w:ascii="Univia Pro Book" w:eastAsia="Univia Pro Book" w:hAnsi="Univia Pro Book" w:cs="Univia Pro Book"/>
          <w:sz w:val="20"/>
          <w:szCs w:val="20"/>
        </w:rPr>
        <w:tab/>
      </w:r>
    </w:p>
    <w:p w:rsidR="005E39BE" w:rsidRDefault="005E39B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nivia Pro Book" w:eastAsia="Univia Pro Book" w:hAnsi="Univia Pro Book" w:cs="Univia Pro Book"/>
          <w:b/>
          <w:color w:val="000000"/>
          <w:sz w:val="24"/>
          <w:szCs w:val="24"/>
        </w:rPr>
      </w:pPr>
    </w:p>
    <w:p w:rsidR="005E39BE" w:rsidRDefault="001A4BD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nivia Pro" w:eastAsia="Univia Pro" w:hAnsi="Univia Pro" w:cs="Univia Pro"/>
          <w:b/>
          <w:color w:val="000000"/>
          <w:sz w:val="24"/>
          <w:szCs w:val="24"/>
        </w:rPr>
      </w:pPr>
      <w:r>
        <w:rPr>
          <w:rFonts w:ascii="Univia Pro" w:eastAsia="Univia Pro" w:hAnsi="Univia Pro" w:cs="Univia Pro"/>
          <w:b/>
          <w:color w:val="000000"/>
          <w:sz w:val="24"/>
          <w:szCs w:val="24"/>
        </w:rPr>
        <w:t>TERCERA JORNADA DE CAPACITACIÓN</w:t>
      </w:r>
    </w:p>
    <w:p w:rsidR="005E39BE" w:rsidRDefault="005E39B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nivia Pro" w:eastAsia="Univia Pro" w:hAnsi="Univia Pro" w:cs="Univia Pro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:rsidR="005E39BE" w:rsidRDefault="001A4BD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nivia Pro" w:eastAsia="Univia Pro" w:hAnsi="Univia Pro" w:cs="Univia Pro"/>
          <w:b/>
          <w:color w:val="000000"/>
          <w:sz w:val="24"/>
          <w:szCs w:val="24"/>
        </w:rPr>
      </w:pPr>
      <w:r>
        <w:rPr>
          <w:rFonts w:ascii="Univia Pro" w:eastAsia="Univia Pro" w:hAnsi="Univia Pro" w:cs="Univia Pro"/>
          <w:b/>
          <w:color w:val="000000"/>
          <w:sz w:val="24"/>
          <w:szCs w:val="24"/>
        </w:rPr>
        <w:t>AGENDA DÍA 3</w:t>
      </w:r>
    </w:p>
    <w:p w:rsidR="005E39BE" w:rsidRDefault="005E39B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nivia Pro Book" w:eastAsia="Univia Pro Book" w:hAnsi="Univia Pro Book" w:cs="Univia Pro Book"/>
          <w:b/>
          <w:color w:val="000000"/>
          <w:sz w:val="20"/>
          <w:szCs w:val="20"/>
        </w:rPr>
      </w:pPr>
    </w:p>
    <w:tbl>
      <w:tblPr>
        <w:tblStyle w:val="a"/>
        <w:tblW w:w="9361" w:type="dxa"/>
        <w:tblInd w:w="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7372"/>
      </w:tblGrid>
      <w:tr w:rsidR="005E39BE">
        <w:trPr>
          <w:trHeight w:val="397"/>
        </w:trPr>
        <w:tc>
          <w:tcPr>
            <w:tcW w:w="1989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7372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27 de octubre de 2021</w:t>
            </w:r>
          </w:p>
        </w:tc>
      </w:tr>
      <w:tr w:rsidR="005E39BE">
        <w:trPr>
          <w:trHeight w:val="397"/>
        </w:trPr>
        <w:tc>
          <w:tcPr>
            <w:tcW w:w="1989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Modalidad:</w:t>
            </w:r>
          </w:p>
        </w:tc>
        <w:tc>
          <w:tcPr>
            <w:tcW w:w="7372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Virtual, plataforma Zoom</w:t>
            </w:r>
          </w:p>
        </w:tc>
      </w:tr>
      <w:tr w:rsidR="005E39BE">
        <w:trPr>
          <w:trHeight w:val="599"/>
        </w:trPr>
        <w:tc>
          <w:tcPr>
            <w:tcW w:w="1989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Participantes</w:t>
            </w: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2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jc w:val="both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Autoridades Municipales, Servidores y servidoras públicas del Gobierno</w:t>
            </w:r>
          </w:p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del Estado</w:t>
            </w:r>
          </w:p>
        </w:tc>
      </w:tr>
    </w:tbl>
    <w:p w:rsidR="005E39BE" w:rsidRDefault="005E39B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780"/>
        <w:jc w:val="center"/>
        <w:rPr>
          <w:rFonts w:ascii="Univia Pro Book" w:eastAsia="Univia Pro Book" w:hAnsi="Univia Pro Book" w:cs="Univia Pro Book"/>
          <w:color w:val="000000"/>
          <w:sz w:val="20"/>
          <w:szCs w:val="20"/>
        </w:rPr>
      </w:pPr>
    </w:p>
    <w:p w:rsidR="005E39BE" w:rsidRDefault="001A4BD4">
      <w:pPr>
        <w:rPr>
          <w:rFonts w:ascii="Univia Pro Book" w:eastAsia="Univia Pro Book" w:hAnsi="Univia Pro Book" w:cs="Univia Pro Book"/>
          <w:sz w:val="20"/>
          <w:szCs w:val="20"/>
        </w:rPr>
      </w:pPr>
      <w:r>
        <w:rPr>
          <w:rFonts w:ascii="Univia Pro Book" w:eastAsia="Univia Pro Book" w:hAnsi="Univia Pro Book" w:cs="Univia Pro Book"/>
          <w:sz w:val="20"/>
          <w:szCs w:val="20"/>
        </w:rPr>
        <w:br/>
      </w:r>
    </w:p>
    <w:tbl>
      <w:tblPr>
        <w:tblStyle w:val="a0"/>
        <w:tblW w:w="9384" w:type="dxa"/>
        <w:tblInd w:w="0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4144"/>
      </w:tblGrid>
      <w:tr w:rsidR="005E39BE">
        <w:trPr>
          <w:trHeight w:val="454"/>
        </w:trPr>
        <w:tc>
          <w:tcPr>
            <w:tcW w:w="1555" w:type="dxa"/>
            <w:shd w:val="clear" w:color="auto" w:fill="F0F0F0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3685" w:type="dxa"/>
            <w:shd w:val="clear" w:color="auto" w:fill="F0F0F0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289" w:right="1252"/>
              <w:jc w:val="center"/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4144" w:type="dxa"/>
            <w:shd w:val="clear" w:color="auto" w:fill="F0F0F0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100"/>
              <w:jc w:val="center"/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Responsable</w:t>
            </w:r>
          </w:p>
        </w:tc>
      </w:tr>
      <w:tr w:rsidR="005E39BE">
        <w:trPr>
          <w:trHeight w:val="454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Acto de apertura</w:t>
            </w:r>
          </w:p>
        </w:tc>
      </w:tr>
      <w:tr w:rsidR="005E39BE">
        <w:trPr>
          <w:trHeight w:val="907"/>
        </w:trPr>
        <w:tc>
          <w:tcPr>
            <w:tcW w:w="155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10:00 – 10:05</w:t>
            </w: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Bienvenida y presentación de personalidades</w:t>
            </w:r>
          </w:p>
        </w:tc>
        <w:tc>
          <w:tcPr>
            <w:tcW w:w="4144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Arq. Leonel Martínez Sánchez</w:t>
            </w:r>
          </w:p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Director de Capacitación para la Planeación de la CGCOPLADE</w:t>
            </w:r>
          </w:p>
        </w:tc>
      </w:tr>
      <w:tr w:rsidR="005E39BE">
        <w:trPr>
          <w:trHeight w:val="850"/>
        </w:trPr>
        <w:tc>
          <w:tcPr>
            <w:tcW w:w="155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10:05 - 10:15</w:t>
            </w: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Participación del Secretario de la Contraloría y Transparencia Gubernamental</w:t>
            </w:r>
          </w:p>
        </w:tc>
        <w:tc>
          <w:tcPr>
            <w:tcW w:w="4144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Mtro. José Ángel Díaz Navarro</w:t>
            </w:r>
          </w:p>
        </w:tc>
      </w:tr>
      <w:tr w:rsidR="005E39BE">
        <w:trPr>
          <w:trHeight w:val="737"/>
        </w:trPr>
        <w:tc>
          <w:tcPr>
            <w:tcW w:w="155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10:15 – 10:30</w:t>
            </w: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Palabras del Coordinador General del COPLADE</w:t>
            </w:r>
          </w:p>
        </w:tc>
        <w:tc>
          <w:tcPr>
            <w:tcW w:w="4144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Ing. Jorge Toledo Luis</w:t>
            </w:r>
          </w:p>
        </w:tc>
      </w:tr>
      <w:tr w:rsidR="005E39BE">
        <w:trPr>
          <w:trHeight w:val="454"/>
        </w:trPr>
        <w:tc>
          <w:tcPr>
            <w:tcW w:w="9384" w:type="dxa"/>
            <w:gridSpan w:val="3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"/>
              <w:jc w:val="center"/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b/>
                <w:color w:val="000000"/>
                <w:sz w:val="20"/>
                <w:szCs w:val="20"/>
              </w:rPr>
              <w:t>Desarrollo</w:t>
            </w:r>
          </w:p>
        </w:tc>
      </w:tr>
      <w:tr w:rsidR="005E39BE">
        <w:trPr>
          <w:trHeight w:val="1020"/>
        </w:trPr>
        <w:tc>
          <w:tcPr>
            <w:tcW w:w="155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10:30 – 11:15</w:t>
            </w: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Protocolo del Primer Respondiente y la Guía de Cadena de Custodia</w:t>
            </w:r>
          </w:p>
        </w:tc>
        <w:tc>
          <w:tcPr>
            <w:tcW w:w="4144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Lic. Marco Antonio Porras Alderete</w:t>
            </w:r>
          </w:p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Director de Análisis de la Agencia Estatal de Investigaciones de la Fiscalía General del Estado de Oaxaca</w:t>
            </w:r>
          </w:p>
        </w:tc>
      </w:tr>
      <w:tr w:rsidR="005E39BE">
        <w:trPr>
          <w:trHeight w:val="850"/>
        </w:trPr>
        <w:tc>
          <w:tcPr>
            <w:tcW w:w="155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11:15 – 12:00</w:t>
            </w: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Comités de Contraloría Social</w:t>
            </w:r>
          </w:p>
        </w:tc>
        <w:tc>
          <w:tcPr>
            <w:tcW w:w="4144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Ing. María José Ruiz Sanginéz</w:t>
            </w:r>
          </w:p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Colaboradora de la Secretaría de la Contraloría y Transparencia Gubernamental</w:t>
            </w:r>
          </w:p>
        </w:tc>
      </w:tr>
      <w:tr w:rsidR="005E39BE">
        <w:trPr>
          <w:trHeight w:val="850"/>
        </w:trPr>
        <w:tc>
          <w:tcPr>
            <w:tcW w:w="155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12:00 – 12:45</w:t>
            </w: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Plan Municipal de Movilidad</w:t>
            </w:r>
          </w:p>
        </w:tc>
        <w:tc>
          <w:tcPr>
            <w:tcW w:w="4144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Mtro. César Díaz Ordaz Vásquez</w:t>
            </w:r>
          </w:p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Director de Planeación y Estudios de Secretaría de Movilidad (SEMOVI)</w:t>
            </w:r>
          </w:p>
        </w:tc>
      </w:tr>
      <w:tr w:rsidR="005E39BE">
        <w:trPr>
          <w:trHeight w:val="624"/>
        </w:trPr>
        <w:tc>
          <w:tcPr>
            <w:tcW w:w="1555" w:type="dxa"/>
            <w:vAlign w:val="center"/>
          </w:tcPr>
          <w:p w:rsidR="005E39BE" w:rsidRDefault="005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jc w:val="center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E39BE" w:rsidRDefault="001A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hanging="1"/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  <w: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  <w:t>Cierre de la capacitación</w:t>
            </w:r>
          </w:p>
        </w:tc>
        <w:tc>
          <w:tcPr>
            <w:tcW w:w="4144" w:type="dxa"/>
            <w:vAlign w:val="center"/>
          </w:tcPr>
          <w:p w:rsidR="005E39BE" w:rsidRDefault="005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via Pro Book" w:eastAsia="Univia Pro Book" w:hAnsi="Univia Pro Book" w:cs="Univia Pro Book"/>
                <w:color w:val="000000"/>
                <w:sz w:val="20"/>
                <w:szCs w:val="20"/>
              </w:rPr>
            </w:pPr>
          </w:p>
        </w:tc>
      </w:tr>
    </w:tbl>
    <w:p w:rsidR="005E39BE" w:rsidRDefault="005E39BE">
      <w:pPr>
        <w:spacing w:before="1" w:after="1"/>
        <w:rPr>
          <w:rFonts w:ascii="Univia Pro Book" w:eastAsia="Univia Pro Book" w:hAnsi="Univia Pro Book" w:cs="Univia Pro Book"/>
          <w:b/>
          <w:sz w:val="14"/>
          <w:szCs w:val="14"/>
        </w:rPr>
      </w:pPr>
    </w:p>
    <w:p w:rsidR="005E39BE" w:rsidRDefault="001A4BD4">
      <w:pPr>
        <w:jc w:val="center"/>
        <w:rPr>
          <w:rFonts w:ascii="Univia Pro Book" w:eastAsia="Univia Pro Book" w:hAnsi="Univia Pro Book" w:cs="Univia Pro Book"/>
        </w:rPr>
      </w:pPr>
      <w:r>
        <w:rPr>
          <w:rFonts w:ascii="Univia Pro Book" w:eastAsia="Univia Pro Book" w:hAnsi="Univia Pro Book" w:cs="Univia Pro Book"/>
        </w:rPr>
        <w:t xml:space="preserve"> </w:t>
      </w:r>
    </w:p>
    <w:sectPr w:rsidR="005E39BE">
      <w:headerReference w:type="default" r:id="rId6"/>
      <w:pgSz w:w="12240" w:h="15840"/>
      <w:pgMar w:top="460" w:right="560" w:bottom="280" w:left="1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D4" w:rsidRDefault="001A4BD4">
      <w:r>
        <w:separator/>
      </w:r>
    </w:p>
  </w:endnote>
  <w:endnote w:type="continuationSeparator" w:id="0">
    <w:p w:rsidR="001A4BD4" w:rsidRDefault="001A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8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D4" w:rsidRDefault="001A4BD4">
      <w:r>
        <w:separator/>
      </w:r>
    </w:p>
  </w:footnote>
  <w:footnote w:type="continuationSeparator" w:id="0">
    <w:p w:rsidR="001A4BD4" w:rsidRDefault="001A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BE" w:rsidRDefault="001A4B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1644650</wp:posOffset>
              </wp:positionH>
              <wp:positionV relativeFrom="paragraph">
                <wp:posOffset>-333374</wp:posOffset>
              </wp:positionV>
              <wp:extent cx="4093845" cy="8382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3845" cy="83820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/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1644650</wp:posOffset>
              </wp:positionH>
              <wp:positionV relativeFrom="paragraph">
                <wp:posOffset>-333374</wp:posOffset>
              </wp:positionV>
              <wp:extent cx="4095750" cy="8382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5750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E39BE" w:rsidRDefault="001A4B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6324600</wp:posOffset>
          </wp:positionH>
          <wp:positionV relativeFrom="paragraph">
            <wp:posOffset>1401445</wp:posOffset>
          </wp:positionV>
          <wp:extent cx="581025" cy="472440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2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E"/>
    <w:rsid w:val="00005D35"/>
    <w:rsid w:val="001A4BD4"/>
    <w:rsid w:val="005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EEA23-63C8-4F0C-90B0-F735C2E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2021-10-27T18:37:00Z</dcterms:created>
  <dcterms:modified xsi:type="dcterms:W3CDTF">2021-10-27T18:37:00Z</dcterms:modified>
</cp:coreProperties>
</file>