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10FD7F3A"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BF6DFD" w:rsidRPr="00BF6DFD">
        <w:rPr>
          <w:rFonts w:ascii="Arial" w:hAnsi="Arial" w:cs="Arial"/>
          <w:b/>
          <w:color w:val="000000"/>
          <w:sz w:val="18"/>
          <w:szCs w:val="18"/>
        </w:rPr>
        <w:t xml:space="preserve">CONSTRUCCIÓN DE </w:t>
      </w:r>
      <w:r w:rsidR="00BF6DFD">
        <w:rPr>
          <w:rFonts w:ascii="Arial" w:hAnsi="Arial" w:cs="Arial"/>
          <w:b/>
          <w:color w:val="000000"/>
          <w:sz w:val="18"/>
          <w:szCs w:val="18"/>
        </w:rPr>
        <w:t>LA CARRETERA SIN NOMBRE C</w:t>
      </w:r>
      <w:r w:rsidR="00BF6DFD" w:rsidRPr="00BF6DFD">
        <w:rPr>
          <w:rFonts w:ascii="Arial" w:hAnsi="Arial" w:cs="Arial"/>
          <w:b/>
          <w:color w:val="000000"/>
          <w:sz w:val="18"/>
          <w:szCs w:val="18"/>
        </w:rPr>
        <w:t>ON CONCRETO HIDRÁULICO DE SANTA CRUZ TEPENIXTLAHUACA - E.C. (EL GACHUP</w:t>
      </w:r>
      <w:r w:rsidR="00BF6DFD">
        <w:rPr>
          <w:rFonts w:ascii="Arial" w:hAnsi="Arial" w:cs="Arial"/>
          <w:b/>
          <w:color w:val="000000"/>
          <w:sz w:val="18"/>
          <w:szCs w:val="18"/>
        </w:rPr>
        <w:t>Í</w:t>
      </w:r>
      <w:r w:rsidR="00BF6DFD" w:rsidRPr="00BF6DFD">
        <w:rPr>
          <w:rFonts w:ascii="Arial" w:hAnsi="Arial" w:cs="Arial"/>
          <w:b/>
          <w:color w:val="000000"/>
          <w:sz w:val="18"/>
          <w:szCs w:val="18"/>
        </w:rPr>
        <w:t>N - TATALTEPEC DE VALD</w:t>
      </w:r>
      <w:r w:rsidR="00BF6DFD">
        <w:rPr>
          <w:rFonts w:ascii="Arial" w:hAnsi="Arial" w:cs="Arial"/>
          <w:b/>
          <w:color w:val="000000"/>
          <w:sz w:val="18"/>
          <w:szCs w:val="18"/>
        </w:rPr>
        <w:t>É</w:t>
      </w:r>
      <w:r w:rsidR="00BF6DFD" w:rsidRPr="00BF6DFD">
        <w:rPr>
          <w:rFonts w:ascii="Arial" w:hAnsi="Arial" w:cs="Arial"/>
          <w:b/>
          <w:color w:val="000000"/>
          <w:sz w:val="18"/>
          <w:szCs w:val="18"/>
        </w:rPr>
        <w:t>S), DEL KM 0+000 AL KM 7+200, SUBTRAMO DEL KM 1+000 AL KM 1+640, EN EL MUNICIPIO DE TATALTEPEC DE VALDÉS</w:t>
      </w:r>
      <w:bookmarkStart w:id="0" w:name="_GoBack"/>
      <w:bookmarkEnd w:id="0"/>
    </w:p>
    <w:p w14:paraId="51620D6F" w14:textId="79DB45D7"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BF6DFD" w:rsidRPr="00BF6DFD">
        <w:rPr>
          <w:rFonts w:ascii="Arial" w:hAnsi="Arial" w:cs="Arial"/>
          <w:b/>
          <w:color w:val="000000"/>
          <w:sz w:val="18"/>
          <w:szCs w:val="18"/>
        </w:rPr>
        <w:t xml:space="preserve">CONSTRUCCIÓN DE </w:t>
      </w:r>
      <w:r w:rsidR="00BF6DFD">
        <w:rPr>
          <w:rFonts w:ascii="Arial" w:hAnsi="Arial" w:cs="Arial"/>
          <w:b/>
          <w:color w:val="000000"/>
          <w:sz w:val="18"/>
          <w:szCs w:val="18"/>
        </w:rPr>
        <w:t>LA CARRETERA SIN NOMBRE C</w:t>
      </w:r>
      <w:r w:rsidR="00BF6DFD" w:rsidRPr="00BF6DFD">
        <w:rPr>
          <w:rFonts w:ascii="Arial" w:hAnsi="Arial" w:cs="Arial"/>
          <w:b/>
          <w:color w:val="000000"/>
          <w:sz w:val="18"/>
          <w:szCs w:val="18"/>
        </w:rPr>
        <w:t>ON CONCRETO HIDRÁULICO DE SANTA CRUZ TEPENIXTLAHUACA - E.C. (EL GACHUP</w:t>
      </w:r>
      <w:r w:rsidR="00BF6DFD">
        <w:rPr>
          <w:rFonts w:ascii="Arial" w:hAnsi="Arial" w:cs="Arial"/>
          <w:b/>
          <w:color w:val="000000"/>
          <w:sz w:val="18"/>
          <w:szCs w:val="18"/>
        </w:rPr>
        <w:t>Í</w:t>
      </w:r>
      <w:r w:rsidR="00BF6DFD" w:rsidRPr="00BF6DFD">
        <w:rPr>
          <w:rFonts w:ascii="Arial" w:hAnsi="Arial" w:cs="Arial"/>
          <w:b/>
          <w:color w:val="000000"/>
          <w:sz w:val="18"/>
          <w:szCs w:val="18"/>
        </w:rPr>
        <w:t>N - TATALTEPEC DE VALD</w:t>
      </w:r>
      <w:r w:rsidR="00BF6DFD">
        <w:rPr>
          <w:rFonts w:ascii="Arial" w:hAnsi="Arial" w:cs="Arial"/>
          <w:b/>
          <w:color w:val="000000"/>
          <w:sz w:val="18"/>
          <w:szCs w:val="18"/>
        </w:rPr>
        <w:t>É</w:t>
      </w:r>
      <w:r w:rsidR="00BF6DFD" w:rsidRPr="00BF6DFD">
        <w:rPr>
          <w:rFonts w:ascii="Arial" w:hAnsi="Arial" w:cs="Arial"/>
          <w:b/>
          <w:color w:val="000000"/>
          <w:sz w:val="18"/>
          <w:szCs w:val="18"/>
        </w:rPr>
        <w:t>S), DEL KM 0+000 AL KM 7+200, SUBTRAMO DEL KM 1+000 AL KM 1+640, EN EL MUNICIPIO DE TATALTEPEC DE VALDÉS</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246B77">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246B77">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Default="00C922EE"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3D12285B" w14:textId="77777777" w:rsidR="00246B77" w:rsidRPr="003B28B2" w:rsidRDefault="00246B77"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3.- N-CTR-CAR-1-01-005/11 EXCAVACIÓN EN CANALES P.U.O.T.</w:t>
      </w:r>
    </w:p>
    <w:p w14:paraId="1E07977A" w14:textId="6DAA07C5" w:rsidR="00C922EE" w:rsidRPr="0077556A" w:rsidRDefault="00246B77" w:rsidP="0077556A">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4</w:t>
      </w:r>
      <w:r w:rsidR="003C1CA4" w:rsidRPr="0077556A">
        <w:rPr>
          <w:rFonts w:ascii="Arial" w:hAnsi="Arial" w:cs="Arial"/>
          <w:color w:val="000000"/>
          <w:sz w:val="18"/>
          <w:szCs w:val="18"/>
        </w:rPr>
        <w:t>.-</w:t>
      </w:r>
      <w:r w:rsidR="00C922EE" w:rsidRPr="0077556A">
        <w:rPr>
          <w:rFonts w:ascii="Arial" w:hAnsi="Arial" w:cs="Arial"/>
          <w:color w:val="000000"/>
          <w:sz w:val="18"/>
          <w:szCs w:val="18"/>
        </w:rPr>
        <w:t xml:space="preserve"> </w:t>
      </w:r>
      <w:r w:rsidR="003C1CA4" w:rsidRPr="0077556A">
        <w:rPr>
          <w:rFonts w:ascii="Arial" w:hAnsi="Arial" w:cs="Arial"/>
          <w:color w:val="000000"/>
          <w:sz w:val="18"/>
          <w:szCs w:val="18"/>
        </w:rPr>
        <w:t>N</w:t>
      </w:r>
      <w:r w:rsidR="00067CFA" w:rsidRPr="0077556A">
        <w:rPr>
          <w:rFonts w:ascii="Arial" w:hAnsi="Arial" w:cs="Arial"/>
          <w:color w:val="000000"/>
          <w:sz w:val="18"/>
          <w:szCs w:val="18"/>
        </w:rPr>
        <w:t>-CTR-CAR-1-01-</w:t>
      </w:r>
      <w:r w:rsidR="003C1CA4" w:rsidRPr="0077556A">
        <w:rPr>
          <w:rFonts w:ascii="Arial" w:hAnsi="Arial" w:cs="Arial"/>
          <w:color w:val="000000"/>
          <w:sz w:val="18"/>
          <w:szCs w:val="18"/>
        </w:rPr>
        <w:t>009/16 TERRAPLENES P.U.O.T.</w:t>
      </w:r>
    </w:p>
    <w:p w14:paraId="244AD779" w14:textId="77777777" w:rsidR="0028756C" w:rsidRPr="0077556A" w:rsidRDefault="0028756C" w:rsidP="00246B77">
      <w:pPr>
        <w:pStyle w:val="Prrafodelista"/>
        <w:spacing w:after="0" w:line="276" w:lineRule="auto"/>
        <w:jc w:val="both"/>
        <w:rPr>
          <w:rFonts w:ascii="Arial" w:hAnsi="Arial" w:cs="Arial"/>
          <w:color w:val="000000"/>
          <w:sz w:val="18"/>
          <w:szCs w:val="18"/>
        </w:rPr>
      </w:pPr>
    </w:p>
    <w:p w14:paraId="6639009E" w14:textId="77777777" w:rsidR="0028756C" w:rsidRPr="003B28B2" w:rsidRDefault="0028756C" w:rsidP="00246B77">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510D39BB" w14:textId="595D7FEC" w:rsidR="001A64CA" w:rsidRPr="003B28B2" w:rsidRDefault="00246B77" w:rsidP="00246B77">
      <w:pPr>
        <w:pStyle w:val="Prrafodelista"/>
        <w:spacing w:after="0" w:line="276" w:lineRule="auto"/>
        <w:jc w:val="both"/>
        <w:rPr>
          <w:rFonts w:ascii="Arial" w:hAnsi="Arial" w:cs="Arial"/>
          <w:color w:val="000000"/>
          <w:sz w:val="18"/>
          <w:szCs w:val="18"/>
          <w:highlight w:val="yellow"/>
        </w:rPr>
      </w:pPr>
      <w:r>
        <w:rPr>
          <w:rFonts w:ascii="Arial" w:hAnsi="Arial" w:cs="Arial"/>
          <w:color w:val="000000"/>
          <w:sz w:val="18"/>
          <w:szCs w:val="18"/>
        </w:rPr>
        <w:t>1</w:t>
      </w:r>
      <w:r w:rsidR="001A64CA">
        <w:rPr>
          <w:rFonts w:ascii="Arial" w:hAnsi="Arial" w:cs="Arial"/>
          <w:color w:val="000000"/>
          <w:sz w:val="18"/>
          <w:szCs w:val="18"/>
        </w:rPr>
        <w:t xml:space="preserve">.- </w:t>
      </w:r>
      <w:r w:rsidR="001A64CA" w:rsidRPr="001A64CA">
        <w:rPr>
          <w:rFonts w:ascii="Arial" w:hAnsi="Arial" w:cs="Arial"/>
          <w:color w:val="000000"/>
          <w:sz w:val="18"/>
          <w:szCs w:val="18"/>
        </w:rPr>
        <w:t>N-CSV-CAR-2-01-003/01 LIMPIEZA DE ALCANTARILLAS P.U.O.T.</w:t>
      </w:r>
    </w:p>
    <w:p w14:paraId="42A2FA06" w14:textId="77777777" w:rsidR="00C922EE" w:rsidRPr="008B2145" w:rsidRDefault="00C922EE" w:rsidP="00246B77">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246B77">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246B77">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246B77">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kg/cm2 P.U.O.T.</w:t>
      </w:r>
    </w:p>
    <w:p w14:paraId="6C111FD9" w14:textId="77777777" w:rsidR="00092562" w:rsidRPr="003B28B2" w:rsidRDefault="00092562"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=150 kg/cm2, P.U.O.T.</w:t>
      </w:r>
    </w:p>
    <w:p w14:paraId="67FFC423" w14:textId="77777777" w:rsidR="00092562" w:rsidRPr="003B28B2" w:rsidRDefault="00092562"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246B77">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246B77">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246B77">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5208F6">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5208F6">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5208F6">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5208F6">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5208F6">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5208F6">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5208F6">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5208F6">
      <w:pPr>
        <w:jc w:val="both"/>
        <w:rPr>
          <w:rFonts w:ascii="Arial" w:hAnsi="Arial" w:cs="Arial"/>
          <w:sz w:val="18"/>
          <w:szCs w:val="18"/>
        </w:rPr>
      </w:pPr>
      <w:r w:rsidRPr="00601B59">
        <w:rPr>
          <w:rFonts w:ascii="Arial" w:hAnsi="Arial" w:cs="Arial"/>
          <w:sz w:val="18"/>
          <w:szCs w:val="18"/>
        </w:rPr>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5208F6">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 xml:space="preserve">Cuando el despalme se contrate a precios unitarios por unidad de obra terminada y sea medido de acuerdo con lo indicado en la Cláusula H. de esta Norma, se pagará al precio fijado en el contrato para el metro cúbico de </w:t>
      </w:r>
      <w:r w:rsidR="003321A2" w:rsidRPr="00601B59">
        <w:rPr>
          <w:rFonts w:ascii="Arial" w:hAnsi="Arial" w:cs="Arial"/>
          <w:sz w:val="18"/>
          <w:szCs w:val="18"/>
        </w:rPr>
        <w:lastRenderedPageBreak/>
        <w:t>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5208F6">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5208F6">
      <w:pPr>
        <w:spacing w:after="0" w:line="276" w:lineRule="auto"/>
        <w:jc w:val="both"/>
        <w:rPr>
          <w:rFonts w:ascii="Arial" w:hAnsi="Arial" w:cs="Arial"/>
          <w:sz w:val="18"/>
          <w:szCs w:val="18"/>
        </w:rPr>
      </w:pPr>
      <w:r w:rsidRPr="00601B59">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Default="00D30EAE" w:rsidP="005208F6">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w:t>
      </w:r>
      <w:r w:rsidRPr="00601B59">
        <w:rPr>
          <w:rFonts w:ascii="Arial" w:hAnsi="Arial" w:cs="Arial"/>
          <w:sz w:val="18"/>
          <w:szCs w:val="18"/>
        </w:rPr>
        <w:lastRenderedPageBreak/>
        <w:t xml:space="preserve">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2F556E75" w14:textId="77777777" w:rsidR="005208F6" w:rsidRPr="00601B59" w:rsidRDefault="005208F6" w:rsidP="005208F6">
      <w:pPr>
        <w:spacing w:after="0" w:line="276" w:lineRule="auto"/>
        <w:jc w:val="both"/>
        <w:rPr>
          <w:rFonts w:ascii="Arial" w:hAnsi="Arial" w:cs="Arial"/>
          <w:b/>
          <w:sz w:val="18"/>
          <w:szCs w:val="18"/>
        </w:rPr>
      </w:pPr>
      <w:r w:rsidRPr="00601B59">
        <w:rPr>
          <w:rFonts w:ascii="Arial" w:hAnsi="Arial" w:cs="Arial"/>
          <w:b/>
          <w:sz w:val="18"/>
          <w:szCs w:val="18"/>
        </w:rPr>
        <w:t>3.- N-CTR-CAR-1-01-005/11 EXCAVACIÓN EN CANALES P.U.O.T.</w:t>
      </w:r>
    </w:p>
    <w:p w14:paraId="7B7B4EF9"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4491A9CE"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32C2DB6"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601B59">
        <w:rPr>
          <w:rFonts w:ascii="Arial" w:hAnsi="Arial" w:cs="Arial"/>
          <w:i/>
          <w:sz w:val="18"/>
          <w:szCs w:val="18"/>
        </w:rPr>
        <w:t>“Acarreos”</w:t>
      </w:r>
      <w:r w:rsidRPr="00601B59">
        <w:rPr>
          <w:rFonts w:ascii="Arial" w:hAnsi="Arial" w:cs="Arial"/>
          <w:sz w:val="18"/>
          <w:szCs w:val="18"/>
        </w:rPr>
        <w:t xml:space="preserve">. </w:t>
      </w:r>
    </w:p>
    <w:p w14:paraId="70E26BD7"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3950174F"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509B0372"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65E00CC5"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5F56D208"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lastRenderedPageBreak/>
        <w:t xml:space="preserve">En la construcción del Excavación para Canales, se deberá considerar los aspectos que contiene la Norma N-CTR-CAR-1- 01-005/11 “Excavación para canales”. </w:t>
      </w:r>
    </w:p>
    <w:p w14:paraId="20C46F66" w14:textId="77777777" w:rsidR="005208F6" w:rsidRPr="00601B59" w:rsidRDefault="005208F6" w:rsidP="005208F6">
      <w:pPr>
        <w:spacing w:after="0" w:line="276" w:lineRule="auto"/>
        <w:jc w:val="both"/>
        <w:rPr>
          <w:rFonts w:ascii="Arial" w:hAnsi="Arial" w:cs="Arial"/>
          <w:sz w:val="18"/>
          <w:szCs w:val="18"/>
        </w:rPr>
      </w:pPr>
      <w:r w:rsidRPr="00601B59">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2AF26483" w14:textId="77777777" w:rsidR="005208F6" w:rsidRPr="00601B59" w:rsidRDefault="005208F6" w:rsidP="005208F6">
      <w:pPr>
        <w:spacing w:after="0" w:line="276" w:lineRule="auto"/>
        <w:jc w:val="both"/>
        <w:rPr>
          <w:rFonts w:ascii="Arial" w:hAnsi="Arial" w:cs="Arial"/>
          <w:b/>
          <w:sz w:val="18"/>
          <w:szCs w:val="18"/>
        </w:rPr>
      </w:pPr>
      <w:r w:rsidRPr="00601B59">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0862A268" w:rsidR="003C1CA4" w:rsidRPr="00601B59" w:rsidRDefault="005208F6" w:rsidP="005208F6">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5208F6">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5208F6">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5208F6">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5208F6">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5208F6">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5208F6">
      <w:pPr>
        <w:jc w:val="both"/>
        <w:rPr>
          <w:rFonts w:ascii="Arial" w:hAnsi="Arial" w:cs="Arial"/>
          <w:color w:val="000000"/>
          <w:sz w:val="18"/>
          <w:szCs w:val="18"/>
          <w:lang w:eastAsia="es-MX"/>
        </w:rPr>
      </w:pPr>
      <w:r w:rsidRPr="00601B59">
        <w:rPr>
          <w:rFonts w:ascii="Arial" w:hAnsi="Arial" w:cs="Arial"/>
          <w:sz w:val="18"/>
          <w:szCs w:val="18"/>
        </w:rPr>
        <w:lastRenderedPageBreak/>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5208F6">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5208F6">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5208F6">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5208F6">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5208F6">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5208F6">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5208F6">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5208F6">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5208F6">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7B690703" w14:textId="77777777" w:rsidR="005208F6" w:rsidRPr="005A2E7D" w:rsidRDefault="005208F6" w:rsidP="005208F6">
      <w:pPr>
        <w:ind w:right="284"/>
        <w:jc w:val="both"/>
        <w:rPr>
          <w:rFonts w:ascii="Arial" w:eastAsia="Times New Roman" w:hAnsi="Arial" w:cs="Arial"/>
          <w:color w:val="000000"/>
          <w:sz w:val="18"/>
          <w:szCs w:val="18"/>
          <w:lang w:eastAsia="es-MX"/>
        </w:rPr>
      </w:pPr>
      <w:r w:rsidRPr="005A2E7D">
        <w:rPr>
          <w:rFonts w:ascii="Arial" w:hAnsi="Arial" w:cs="Arial"/>
          <w:sz w:val="18"/>
          <w:szCs w:val="18"/>
          <w:lang w:val="es-ES_tradnl"/>
        </w:rPr>
        <w:t xml:space="preserve">Los trabajos a ejecutar en esta partida, tienen como objetivo, evitar que la infiltración y escurrimiento superficial del agua de lluvia afecten la </w:t>
      </w:r>
      <w:r w:rsidRPr="005A2E7D">
        <w:rPr>
          <w:rFonts w:ascii="Arial" w:eastAsia="Times New Roman" w:hAnsi="Arial" w:cs="Arial"/>
          <w:color w:val="000000"/>
          <w:sz w:val="18"/>
          <w:szCs w:val="18"/>
          <w:lang w:eastAsia="es-MX"/>
        </w:rPr>
        <w:t>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5FA57142" w14:textId="08119794" w:rsidR="00DA2470" w:rsidRDefault="005208F6" w:rsidP="005208F6">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DA2470" w:rsidRPr="00235ADB">
        <w:rPr>
          <w:rFonts w:ascii="Arial" w:eastAsia="Times New Roman" w:hAnsi="Arial" w:cs="Arial"/>
          <w:b/>
          <w:color w:val="000000"/>
          <w:sz w:val="18"/>
          <w:szCs w:val="18"/>
          <w:lang w:eastAsia="es-MX"/>
        </w:rPr>
        <w:t>.- N-CSV-CAR-2-01-003/01 LIMPIEZA DE ALCANTARILLAS P.U.O.T.</w:t>
      </w:r>
    </w:p>
    <w:p w14:paraId="68F6DB99"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615368A0"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lastRenderedPageBreak/>
        <w:t xml:space="preserve">MATERIALES: Por ningún motivo se admitirá el uso de sustancias agresivas que a juicio de la Dependencia, dañen de cualquier forma las alcantarillas, tales como solventes, combustibles o lubricantes. </w:t>
      </w:r>
    </w:p>
    <w:p w14:paraId="57E1BF7B"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0A7BA71B"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44C66CFB"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0B4FBF8A"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0D73C942" w14:textId="77777777" w:rsidR="00DA2470" w:rsidRPr="00235ADB" w:rsidRDefault="00DA2470" w:rsidP="005208F6">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2DFC9E54"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4F52BC94"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34195F38" w14:textId="77777777" w:rsidR="00DA2470" w:rsidRDefault="00DA2470" w:rsidP="005208F6">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sólidos, líquidos y semilíquidos. • 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21413360" w14:textId="77777777" w:rsidR="005208F6" w:rsidRDefault="005208F6" w:rsidP="005208F6">
      <w:pPr>
        <w:ind w:right="284"/>
        <w:jc w:val="both"/>
        <w:rPr>
          <w:rFonts w:ascii="Arial" w:hAnsi="Arial" w:cs="Arial"/>
          <w:sz w:val="18"/>
          <w:szCs w:val="18"/>
        </w:rPr>
      </w:pPr>
    </w:p>
    <w:p w14:paraId="4909C975" w14:textId="77777777" w:rsidR="005208F6" w:rsidRDefault="005208F6" w:rsidP="005208F6">
      <w:pPr>
        <w:ind w:right="284"/>
        <w:jc w:val="both"/>
        <w:rPr>
          <w:rFonts w:ascii="Arial" w:hAnsi="Arial" w:cs="Arial"/>
          <w:sz w:val="18"/>
          <w:szCs w:val="18"/>
        </w:rPr>
      </w:pPr>
    </w:p>
    <w:p w14:paraId="48716EBD" w14:textId="49012128" w:rsidR="00405E3F" w:rsidRPr="00202688" w:rsidRDefault="001D2ECA" w:rsidP="005208F6">
      <w:pPr>
        <w:jc w:val="both"/>
        <w:rPr>
          <w:rFonts w:ascii="Arial" w:hAnsi="Arial" w:cs="Arial"/>
          <w:b/>
          <w:sz w:val="18"/>
          <w:szCs w:val="18"/>
        </w:rPr>
      </w:pPr>
      <w:r w:rsidRPr="00202688">
        <w:rPr>
          <w:rFonts w:ascii="Arial" w:hAnsi="Arial" w:cs="Arial"/>
          <w:b/>
          <w:sz w:val="18"/>
          <w:szCs w:val="18"/>
        </w:rPr>
        <w:lastRenderedPageBreak/>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5208F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5208F6">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5208F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5208F6">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5208F6">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5208F6">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5208F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5208F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5208F6">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5208F6">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5208F6">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5208F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5208F6">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5208F6">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5208F6">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5208F6">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202688">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8A7C4E">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8A7C4E">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8A7C4E">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8A7C4E">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P.U.O.T. </w:t>
      </w:r>
    </w:p>
    <w:p w14:paraId="4D85575D"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8A7C4E">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8A7C4E">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8A7C4E">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P.U.O.T. </w:t>
      </w:r>
    </w:p>
    <w:p w14:paraId="2AF114E1" w14:textId="77777777" w:rsidR="000264F6" w:rsidRPr="00202688" w:rsidRDefault="00415E03" w:rsidP="008A7C4E">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8A7C4E">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8A7C4E">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8A7C4E">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8A7C4E">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8A7C4E">
      <w:pPr>
        <w:jc w:val="both"/>
        <w:rPr>
          <w:rFonts w:ascii="Arial" w:hAnsi="Arial" w:cs="Arial"/>
          <w:sz w:val="18"/>
          <w:szCs w:val="18"/>
        </w:rPr>
      </w:pPr>
      <w:r w:rsidRPr="00202688">
        <w:rPr>
          <w:rFonts w:ascii="Arial" w:hAnsi="Arial" w:cs="Arial"/>
          <w:sz w:val="18"/>
          <w:szCs w:val="18"/>
        </w:rPr>
        <w:lastRenderedPageBreak/>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8A7C4E">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8A7C4E">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8A7C4E">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8A7C4E">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8A7C4E">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8A7C4E">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8A7C4E">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8A7C4E">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8A7C4E">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8A7C4E">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8A7C4E">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8A7C4E">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8A7C4E">
      <w:pPr>
        <w:ind w:right="-2"/>
        <w:jc w:val="both"/>
        <w:rPr>
          <w:rFonts w:ascii="Arial" w:hAnsi="Arial" w:cs="Arial"/>
          <w:sz w:val="18"/>
          <w:szCs w:val="18"/>
        </w:rPr>
      </w:pPr>
      <w:r w:rsidRPr="00202688">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8A7C4E">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8A7C4E">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8A7C4E">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8A7C4E">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8A7C4E">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8A7C4E">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8A7C4E">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8A7C4E">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8A7C4E">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8A7C4E">
      <w:pPr>
        <w:ind w:right="-2"/>
        <w:jc w:val="both"/>
        <w:rPr>
          <w:rFonts w:ascii="Arial" w:hAnsi="Arial" w:cs="Arial"/>
          <w:sz w:val="18"/>
          <w:szCs w:val="18"/>
        </w:rPr>
      </w:pPr>
      <w:r w:rsidRPr="00202688">
        <w:rPr>
          <w:rFonts w:ascii="Arial" w:hAnsi="Arial" w:cs="Arial"/>
          <w:sz w:val="18"/>
          <w:szCs w:val="18"/>
        </w:rPr>
        <w:lastRenderedPageBreak/>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8A7C4E">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57B84" w14:textId="77777777" w:rsidR="000541A6" w:rsidRDefault="000541A6" w:rsidP="009C15F8">
      <w:pPr>
        <w:spacing w:before="0" w:after="0" w:line="240" w:lineRule="auto"/>
      </w:pPr>
      <w:r>
        <w:separator/>
      </w:r>
    </w:p>
  </w:endnote>
  <w:endnote w:type="continuationSeparator" w:id="0">
    <w:p w14:paraId="3F7B22E3" w14:textId="77777777" w:rsidR="000541A6" w:rsidRDefault="000541A6"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7556A" w:rsidRPr="0077556A">
                                  <w:rPr>
                                    <w:b/>
                                    <w:bCs/>
                                    <w:i/>
                                    <w:iCs/>
                                    <w:noProof/>
                                    <w:color w:val="FFFFFF" w:themeColor="background1"/>
                                    <w:sz w:val="36"/>
                                    <w:szCs w:val="36"/>
                                    <w:lang w:val="es-ES"/>
                                  </w:rPr>
                                  <w:t>17</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7556A" w:rsidRPr="0077556A">
                            <w:rPr>
                              <w:b/>
                              <w:bCs/>
                              <w:i/>
                              <w:iCs/>
                              <w:noProof/>
                              <w:color w:val="FFFFFF" w:themeColor="background1"/>
                              <w:sz w:val="36"/>
                              <w:szCs w:val="36"/>
                              <w:lang w:val="es-ES"/>
                            </w:rPr>
                            <w:t>17</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826A8" w14:textId="77777777" w:rsidR="000541A6" w:rsidRDefault="000541A6" w:rsidP="009C15F8">
      <w:pPr>
        <w:spacing w:before="0" w:after="0" w:line="240" w:lineRule="auto"/>
      </w:pPr>
      <w:r>
        <w:separator/>
      </w:r>
    </w:p>
  </w:footnote>
  <w:footnote w:type="continuationSeparator" w:id="0">
    <w:p w14:paraId="000A5561" w14:textId="77777777" w:rsidR="000541A6" w:rsidRDefault="000541A6"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FBA74"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1A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46B77"/>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08F6"/>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56A"/>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A7C4E"/>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6DFD"/>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4582"/>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1FB5-6528-485C-A01F-1787409E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17</Pages>
  <Words>10880</Words>
  <Characters>59840</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302</cp:revision>
  <cp:lastPrinted>2023-10-17T17:07:00Z</cp:lastPrinted>
  <dcterms:created xsi:type="dcterms:W3CDTF">2020-05-12T22:19:00Z</dcterms:created>
  <dcterms:modified xsi:type="dcterms:W3CDTF">2024-08-12T17:49:00Z</dcterms:modified>
</cp:coreProperties>
</file>